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987" w:rsidRPr="00494987" w:rsidRDefault="00494987" w:rsidP="00494987">
      <w:pPr>
        <w:spacing w:before="100" w:beforeAutospacing="1" w:after="100" w:afterAutospacing="1" w:line="240" w:lineRule="auto"/>
        <w:jc w:val="center"/>
        <w:rPr>
          <w:rFonts w:asciiTheme="majorHAnsi" w:eastAsia="Times New Roman" w:hAnsiTheme="majorHAnsi" w:cs="Arial"/>
          <w:b/>
          <w:bCs/>
          <w:sz w:val="20"/>
          <w:szCs w:val="20"/>
          <w:u w:val="single"/>
        </w:rPr>
      </w:pPr>
      <w:r w:rsidRPr="00494987">
        <w:rPr>
          <w:rFonts w:asciiTheme="majorHAnsi" w:eastAsia="Times New Roman" w:hAnsiTheme="majorHAnsi" w:cs="Arial"/>
          <w:b/>
          <w:bCs/>
          <w:sz w:val="20"/>
          <w:szCs w:val="20"/>
          <w:u w:val="single"/>
        </w:rPr>
        <w:t>Supreme Court</w:t>
      </w:r>
    </w:p>
    <w:p w:rsidR="00494987" w:rsidRPr="007A7423"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b/>
          <w:bCs/>
          <w:sz w:val="20"/>
          <w:szCs w:val="20"/>
        </w:rPr>
        <w:t xml:space="preserve">Speaker Haryana </w:t>
      </w:r>
      <w:proofErr w:type="spellStart"/>
      <w:r w:rsidRPr="007A7423">
        <w:rPr>
          <w:rFonts w:asciiTheme="majorHAnsi" w:eastAsia="Times New Roman" w:hAnsiTheme="majorHAnsi" w:cs="Arial"/>
          <w:b/>
          <w:bCs/>
          <w:sz w:val="20"/>
          <w:szCs w:val="20"/>
        </w:rPr>
        <w:t>Vidhan</w:t>
      </w:r>
      <w:proofErr w:type="spellEnd"/>
      <w:r w:rsidRPr="007A7423">
        <w:rPr>
          <w:rFonts w:asciiTheme="majorHAnsi" w:eastAsia="Times New Roman" w:hAnsiTheme="majorHAnsi" w:cs="Arial"/>
          <w:b/>
          <w:bCs/>
          <w:sz w:val="20"/>
          <w:szCs w:val="20"/>
        </w:rPr>
        <w:t xml:space="preserve"> </w:t>
      </w:r>
      <w:proofErr w:type="spellStart"/>
      <w:r w:rsidRPr="007A7423">
        <w:rPr>
          <w:rFonts w:asciiTheme="majorHAnsi" w:eastAsia="Times New Roman" w:hAnsiTheme="majorHAnsi" w:cs="Arial"/>
          <w:b/>
          <w:bCs/>
          <w:sz w:val="20"/>
          <w:szCs w:val="20"/>
        </w:rPr>
        <w:t>Sabha</w:t>
      </w:r>
      <w:proofErr w:type="spellEnd"/>
      <w:r w:rsidRPr="007A7423">
        <w:rPr>
          <w:rFonts w:asciiTheme="majorHAnsi" w:eastAsia="Times New Roman" w:hAnsiTheme="majorHAnsi" w:cs="Arial"/>
          <w:b/>
          <w:bCs/>
          <w:sz w:val="20"/>
          <w:szCs w:val="20"/>
        </w:rPr>
        <w:t xml:space="preserve"> </w:t>
      </w:r>
      <w:proofErr w:type="gramStart"/>
      <w:r w:rsidRPr="007A7423">
        <w:rPr>
          <w:rFonts w:asciiTheme="majorHAnsi" w:eastAsia="Times New Roman" w:hAnsiTheme="majorHAnsi" w:cs="Arial"/>
          <w:b/>
          <w:bCs/>
          <w:sz w:val="20"/>
          <w:szCs w:val="20"/>
        </w:rPr>
        <w:t>Vs</w:t>
      </w:r>
      <w:proofErr w:type="gramEnd"/>
      <w:r w:rsidRPr="007A7423">
        <w:rPr>
          <w:rFonts w:asciiTheme="majorHAnsi" w:eastAsia="Times New Roman" w:hAnsiTheme="majorHAnsi" w:cs="Arial"/>
          <w:b/>
          <w:bCs/>
          <w:sz w:val="20"/>
          <w:szCs w:val="20"/>
        </w:rPr>
        <w:t xml:space="preserve">. </w:t>
      </w:r>
      <w:proofErr w:type="spellStart"/>
      <w:r w:rsidRPr="007A7423">
        <w:rPr>
          <w:rFonts w:asciiTheme="majorHAnsi" w:eastAsia="Times New Roman" w:hAnsiTheme="majorHAnsi" w:cs="Arial"/>
          <w:b/>
          <w:bCs/>
          <w:sz w:val="20"/>
          <w:szCs w:val="20"/>
        </w:rPr>
        <w:t>Kuldeep</w:t>
      </w:r>
      <w:proofErr w:type="spellEnd"/>
      <w:r w:rsidRPr="007A7423">
        <w:rPr>
          <w:rFonts w:asciiTheme="majorHAnsi" w:eastAsia="Times New Roman" w:hAnsiTheme="majorHAnsi" w:cs="Arial"/>
          <w:b/>
          <w:bCs/>
          <w:sz w:val="20"/>
          <w:szCs w:val="20"/>
        </w:rPr>
        <w:t xml:space="preserve"> </w:t>
      </w:r>
      <w:proofErr w:type="spellStart"/>
      <w:r w:rsidRPr="007A7423">
        <w:rPr>
          <w:rFonts w:asciiTheme="majorHAnsi" w:eastAsia="Times New Roman" w:hAnsiTheme="majorHAnsi" w:cs="Arial"/>
          <w:b/>
          <w:bCs/>
          <w:sz w:val="20"/>
          <w:szCs w:val="20"/>
        </w:rPr>
        <w:t>Bishnoi</w:t>
      </w:r>
      <w:proofErr w:type="spellEnd"/>
      <w:r w:rsidRPr="007A7423">
        <w:rPr>
          <w:rFonts w:asciiTheme="majorHAnsi" w:eastAsia="Times New Roman" w:hAnsiTheme="majorHAnsi" w:cs="Arial"/>
          <w:b/>
          <w:bCs/>
          <w:sz w:val="20"/>
          <w:szCs w:val="20"/>
        </w:rPr>
        <w:t xml:space="preserve"> &amp; Ors.</w:t>
      </w:r>
    </w:p>
    <w:p w:rsidR="00494987" w:rsidRDefault="00494987" w:rsidP="00494987">
      <w:pPr>
        <w:spacing w:before="100" w:beforeAutospacing="1" w:after="100" w:afterAutospacing="1" w:line="240" w:lineRule="auto"/>
        <w:rPr>
          <w:rFonts w:asciiTheme="majorHAnsi" w:eastAsia="Times New Roman" w:hAnsiTheme="majorHAnsi" w:cs="Arial"/>
          <w:b/>
          <w:bCs/>
          <w:sz w:val="20"/>
          <w:szCs w:val="20"/>
        </w:rPr>
      </w:pPr>
      <w:r w:rsidRPr="007A7423">
        <w:rPr>
          <w:rFonts w:asciiTheme="majorHAnsi" w:eastAsia="Times New Roman" w:hAnsiTheme="majorHAnsi" w:cs="Arial"/>
          <w:b/>
          <w:bCs/>
          <w:sz w:val="20"/>
          <w:szCs w:val="20"/>
        </w:rPr>
        <w:t>[Civil Appeal No.7125 of 2012 arising out of SLP (C) No.54 of 2012]</w:t>
      </w:r>
    </w:p>
    <w:p w:rsidR="00494987" w:rsidRPr="00AF6C62"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EC43EC">
        <w:rPr>
          <w:rFonts w:asciiTheme="majorHAnsi" w:eastAsia="Times New Roman" w:hAnsiTheme="majorHAnsi" w:cs="Times New Roman"/>
          <w:b/>
          <w:sz w:val="20"/>
          <w:szCs w:val="20"/>
        </w:rPr>
        <w:t>Decided on:</w:t>
      </w:r>
      <w:r>
        <w:rPr>
          <w:rFonts w:asciiTheme="majorHAnsi" w:eastAsia="Times New Roman" w:hAnsiTheme="majorHAnsi" w:cs="Times New Roman"/>
          <w:sz w:val="20"/>
          <w:szCs w:val="20"/>
        </w:rPr>
        <w:t xml:space="preserve"> </w:t>
      </w:r>
      <w:r w:rsidRPr="00AF6C62">
        <w:rPr>
          <w:rFonts w:asciiTheme="majorHAnsi" w:eastAsia="Times New Roman" w:hAnsiTheme="majorHAnsi" w:cs="Times New Roman"/>
          <w:b/>
          <w:sz w:val="20"/>
          <w:szCs w:val="20"/>
        </w:rPr>
        <w:t>September 28, 2012</w:t>
      </w:r>
    </w:p>
    <w:p w:rsidR="00494987" w:rsidRPr="00EC43EC" w:rsidRDefault="00494987" w:rsidP="00494987">
      <w:pPr>
        <w:spacing w:before="100" w:beforeAutospacing="1" w:after="100" w:afterAutospacing="1" w:line="240" w:lineRule="auto"/>
        <w:rPr>
          <w:rFonts w:asciiTheme="majorHAnsi" w:eastAsia="Times New Roman" w:hAnsiTheme="majorHAnsi" w:cs="Times New Roman"/>
          <w:b/>
          <w:sz w:val="20"/>
          <w:szCs w:val="20"/>
        </w:rPr>
      </w:pPr>
      <w:r w:rsidRPr="00EC43EC">
        <w:rPr>
          <w:rFonts w:asciiTheme="majorHAnsi" w:eastAsia="Times New Roman" w:hAnsiTheme="majorHAnsi" w:cs="Arial"/>
          <w:b/>
          <w:sz w:val="20"/>
          <w:szCs w:val="20"/>
        </w:rPr>
        <w:t>ALTAMAS KABIR, J.</w:t>
      </w:r>
    </w:p>
    <w:p w:rsidR="00494987" w:rsidRPr="007A7423"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The subject matter of challenge in these appeals </w:t>
      </w:r>
      <w:r>
        <w:rPr>
          <w:rFonts w:asciiTheme="majorHAnsi" w:eastAsia="Times New Roman" w:hAnsiTheme="majorHAnsi" w:cs="Arial"/>
          <w:sz w:val="20"/>
          <w:szCs w:val="20"/>
        </w:rPr>
        <w:t>was</w:t>
      </w:r>
      <w:r w:rsidRPr="007A7423">
        <w:rPr>
          <w:rFonts w:asciiTheme="majorHAnsi" w:eastAsia="Times New Roman" w:hAnsiTheme="majorHAnsi" w:cs="Arial"/>
          <w:sz w:val="20"/>
          <w:szCs w:val="20"/>
        </w:rPr>
        <w:t xml:space="preserve"> the final judgment and order dated 20th December, 2011, passed by the Punjab &amp; Haryana High Court in the different Letters Patent Appeals filed by the </w:t>
      </w:r>
      <w:proofErr w:type="gramStart"/>
      <w:r w:rsidRPr="007A7423">
        <w:rPr>
          <w:rFonts w:asciiTheme="majorHAnsi" w:eastAsia="Times New Roman" w:hAnsiTheme="majorHAnsi" w:cs="Arial"/>
          <w:sz w:val="20"/>
          <w:szCs w:val="20"/>
        </w:rPr>
        <w:t xml:space="preserve">Appellants </w:t>
      </w:r>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 xml:space="preserve"> </w:t>
      </w:r>
      <w:r w:rsidRPr="007A7423">
        <w:rPr>
          <w:rFonts w:asciiTheme="majorHAnsi" w:eastAsia="Times New Roman" w:hAnsiTheme="majorHAnsi" w:cs="Arial"/>
          <w:sz w:val="20"/>
          <w:szCs w:val="20"/>
        </w:rPr>
        <w:t>The first Civil Appeal, arising out of SLP(C</w:t>
      </w:r>
      <w:proofErr w:type="gramStart"/>
      <w:r w:rsidRPr="007A7423">
        <w:rPr>
          <w:rFonts w:asciiTheme="majorHAnsi" w:eastAsia="Times New Roman" w:hAnsiTheme="majorHAnsi" w:cs="Arial"/>
          <w:sz w:val="20"/>
          <w:szCs w:val="20"/>
        </w:rPr>
        <w:t>)No.54</w:t>
      </w:r>
      <w:proofErr w:type="gramEnd"/>
      <w:r w:rsidRPr="007A7423">
        <w:rPr>
          <w:rFonts w:asciiTheme="majorHAnsi" w:eastAsia="Times New Roman" w:hAnsiTheme="majorHAnsi" w:cs="Arial"/>
          <w:sz w:val="20"/>
          <w:szCs w:val="20"/>
        </w:rPr>
        <w:t xml:space="preserve"> of 2012, </w:t>
      </w:r>
      <w:r>
        <w:rPr>
          <w:rFonts w:asciiTheme="majorHAnsi" w:eastAsia="Times New Roman" w:hAnsiTheme="majorHAnsi" w:cs="Arial"/>
          <w:sz w:val="20"/>
          <w:szCs w:val="20"/>
        </w:rPr>
        <w:t>was</w:t>
      </w:r>
      <w:r w:rsidRPr="007A7423">
        <w:rPr>
          <w:rFonts w:asciiTheme="majorHAnsi" w:eastAsia="Times New Roman" w:hAnsiTheme="majorHAnsi" w:cs="Arial"/>
          <w:sz w:val="20"/>
          <w:szCs w:val="20"/>
        </w:rPr>
        <w:t xml:space="preserve"> filed by the Speaker of the Haryana </w:t>
      </w:r>
      <w:proofErr w:type="spellStart"/>
      <w:r w:rsidRPr="007A7423">
        <w:rPr>
          <w:rFonts w:asciiTheme="majorHAnsi" w:eastAsia="Times New Roman" w:hAnsiTheme="majorHAnsi" w:cs="Arial"/>
          <w:sz w:val="20"/>
          <w:szCs w:val="20"/>
        </w:rPr>
        <w:t>Vidhan</w:t>
      </w:r>
      <w:proofErr w:type="spellEnd"/>
      <w:r w:rsidRPr="007A7423">
        <w:rPr>
          <w:rFonts w:asciiTheme="majorHAnsi" w:eastAsia="Times New Roman" w:hAnsiTheme="majorHAnsi" w:cs="Arial"/>
          <w:sz w:val="20"/>
          <w:szCs w:val="20"/>
        </w:rPr>
        <w:t xml:space="preserve"> </w:t>
      </w:r>
      <w:proofErr w:type="spellStart"/>
      <w:r w:rsidRPr="007A7423">
        <w:rPr>
          <w:rFonts w:asciiTheme="majorHAnsi" w:eastAsia="Times New Roman" w:hAnsiTheme="majorHAnsi" w:cs="Arial"/>
          <w:sz w:val="20"/>
          <w:szCs w:val="20"/>
        </w:rPr>
        <w:t>Sabha</w:t>
      </w:r>
      <w:proofErr w:type="spellEnd"/>
      <w:r w:rsidRPr="007A7423">
        <w:rPr>
          <w:rFonts w:asciiTheme="majorHAnsi" w:eastAsia="Times New Roman" w:hAnsiTheme="majorHAnsi" w:cs="Arial"/>
          <w:sz w:val="20"/>
          <w:szCs w:val="20"/>
        </w:rPr>
        <w:t xml:space="preserve"> against the judgment and order passed by the Punjab and Haryana High Court in his Letters Patent Appeal No.366 of 2011. By the said judgment, the Division Bench not only dismissed the appeal and did not choose to interfere with the directions given by the learned Single Judge to the Speaker to decide the petitions for disqualification of five MLAs within a period of four months, but in addition, directed that pending such decision, the five MLAs in question would stand disqualified from effectively functioning as members of the Haryana </w:t>
      </w:r>
      <w:proofErr w:type="spellStart"/>
      <w:r w:rsidRPr="007A7423">
        <w:rPr>
          <w:rFonts w:asciiTheme="majorHAnsi" w:eastAsia="Times New Roman" w:hAnsiTheme="majorHAnsi" w:cs="Arial"/>
          <w:sz w:val="20"/>
          <w:szCs w:val="20"/>
        </w:rPr>
        <w:t>Vidhan</w:t>
      </w:r>
      <w:proofErr w:type="spellEnd"/>
      <w:r w:rsidRPr="007A7423">
        <w:rPr>
          <w:rFonts w:asciiTheme="majorHAnsi" w:eastAsia="Times New Roman" w:hAnsiTheme="majorHAnsi" w:cs="Arial"/>
          <w:sz w:val="20"/>
          <w:szCs w:val="20"/>
        </w:rPr>
        <w:t xml:space="preserve"> </w:t>
      </w:r>
      <w:proofErr w:type="spellStart"/>
      <w:r w:rsidRPr="007A7423">
        <w:rPr>
          <w:rFonts w:asciiTheme="majorHAnsi" w:eastAsia="Times New Roman" w:hAnsiTheme="majorHAnsi" w:cs="Arial"/>
          <w:sz w:val="20"/>
          <w:szCs w:val="20"/>
        </w:rPr>
        <w:t>Sabha</w:t>
      </w:r>
      <w:proofErr w:type="spellEnd"/>
      <w:r w:rsidRPr="007A7423">
        <w:rPr>
          <w:rFonts w:asciiTheme="majorHAnsi" w:eastAsia="Times New Roman" w:hAnsiTheme="majorHAnsi" w:cs="Arial"/>
          <w:sz w:val="20"/>
          <w:szCs w:val="20"/>
        </w:rPr>
        <w:t>. Aggrieved by the interim directions purportedly given under Order 41 Rule 33 of the Code of Civil Procedure (C.P.C.), the Speaker filed SLP(C</w:t>
      </w:r>
      <w:proofErr w:type="gramStart"/>
      <w:r w:rsidRPr="007A7423">
        <w:rPr>
          <w:rFonts w:asciiTheme="majorHAnsi" w:eastAsia="Times New Roman" w:hAnsiTheme="majorHAnsi" w:cs="Arial"/>
          <w:sz w:val="20"/>
          <w:szCs w:val="20"/>
        </w:rPr>
        <w:t>)No.54</w:t>
      </w:r>
      <w:proofErr w:type="gramEnd"/>
      <w:r w:rsidRPr="007A7423">
        <w:rPr>
          <w:rFonts w:asciiTheme="majorHAnsi" w:eastAsia="Times New Roman" w:hAnsiTheme="majorHAnsi" w:cs="Arial"/>
          <w:sz w:val="20"/>
          <w:szCs w:val="20"/>
        </w:rPr>
        <w:t xml:space="preserve"> of 2012, challenging the same.</w:t>
      </w:r>
    </w:p>
    <w:p w:rsidR="00494987" w:rsidRDefault="00494987" w:rsidP="00494987">
      <w:pPr>
        <w:spacing w:before="100" w:beforeAutospacing="1" w:after="100" w:afterAutospacing="1" w:line="240" w:lineRule="auto"/>
        <w:rPr>
          <w:rFonts w:asciiTheme="majorHAnsi" w:eastAsia="Times New Roman" w:hAnsiTheme="majorHAnsi" w:cs="Arial"/>
          <w:sz w:val="20"/>
          <w:szCs w:val="20"/>
        </w:rPr>
      </w:pPr>
      <w:r w:rsidRPr="007A7423">
        <w:rPr>
          <w:rFonts w:asciiTheme="majorHAnsi" w:eastAsia="Times New Roman" w:hAnsiTheme="majorHAnsi" w:cs="Arial"/>
          <w:sz w:val="20"/>
          <w:szCs w:val="20"/>
        </w:rPr>
        <w:t>The other three Special Leave Petitions (now appeals) were filed by the five MLAs, who were prevented from performing their functions as Members of the Assembly by the directions contained in the impugned judgment and order dated 20th December, 2011. While SLP(C</w:t>
      </w:r>
      <w:proofErr w:type="gramStart"/>
      <w:r w:rsidRPr="007A7423">
        <w:rPr>
          <w:rFonts w:asciiTheme="majorHAnsi" w:eastAsia="Times New Roman" w:hAnsiTheme="majorHAnsi" w:cs="Arial"/>
          <w:sz w:val="20"/>
          <w:szCs w:val="20"/>
        </w:rPr>
        <w:t>)No.55</w:t>
      </w:r>
      <w:proofErr w:type="gramEnd"/>
      <w:r w:rsidRPr="007A7423">
        <w:rPr>
          <w:rFonts w:asciiTheme="majorHAnsi" w:eastAsia="Times New Roman" w:hAnsiTheme="majorHAnsi" w:cs="Arial"/>
          <w:sz w:val="20"/>
          <w:szCs w:val="20"/>
        </w:rPr>
        <w:t xml:space="preserve"> of 2012 was filed by </w:t>
      </w:r>
      <w:proofErr w:type="spellStart"/>
      <w:r w:rsidRPr="007A7423">
        <w:rPr>
          <w:rFonts w:asciiTheme="majorHAnsi" w:eastAsia="Times New Roman" w:hAnsiTheme="majorHAnsi" w:cs="Arial"/>
          <w:sz w:val="20"/>
          <w:szCs w:val="20"/>
        </w:rPr>
        <w:t>Narendra</w:t>
      </w:r>
      <w:proofErr w:type="spellEnd"/>
      <w:r w:rsidRPr="007A7423">
        <w:rPr>
          <w:rFonts w:asciiTheme="majorHAnsi" w:eastAsia="Times New Roman" w:hAnsiTheme="majorHAnsi" w:cs="Arial"/>
          <w:sz w:val="20"/>
          <w:szCs w:val="20"/>
        </w:rPr>
        <w:t xml:space="preserve"> Singh and another, SLP(C)Nos.59 of 2012 and 72 of 2012were filed by </w:t>
      </w:r>
      <w:proofErr w:type="spellStart"/>
      <w:r w:rsidRPr="007A7423">
        <w:rPr>
          <w:rFonts w:asciiTheme="majorHAnsi" w:eastAsia="Times New Roman" w:hAnsiTheme="majorHAnsi" w:cs="Arial"/>
          <w:sz w:val="20"/>
          <w:szCs w:val="20"/>
        </w:rPr>
        <w:t>Dharam</w:t>
      </w:r>
      <w:proofErr w:type="spellEnd"/>
      <w:r w:rsidRPr="007A7423">
        <w:rPr>
          <w:rFonts w:asciiTheme="majorHAnsi" w:eastAsia="Times New Roman" w:hAnsiTheme="majorHAnsi" w:cs="Arial"/>
          <w:sz w:val="20"/>
          <w:szCs w:val="20"/>
        </w:rPr>
        <w:t xml:space="preserve"> Singh and another and </w:t>
      </w:r>
      <w:proofErr w:type="spellStart"/>
      <w:r w:rsidRPr="007A7423">
        <w:rPr>
          <w:rFonts w:asciiTheme="majorHAnsi" w:eastAsia="Times New Roman" w:hAnsiTheme="majorHAnsi" w:cs="Arial"/>
          <w:sz w:val="20"/>
          <w:szCs w:val="20"/>
        </w:rPr>
        <w:t>Zile</w:t>
      </w:r>
      <w:proofErr w:type="spellEnd"/>
      <w:r w:rsidRPr="007A7423">
        <w:rPr>
          <w:rFonts w:asciiTheme="majorHAnsi" w:eastAsia="Times New Roman" w:hAnsiTheme="majorHAnsi" w:cs="Arial"/>
          <w:sz w:val="20"/>
          <w:szCs w:val="20"/>
        </w:rPr>
        <w:t xml:space="preserve"> Ram Sharma, being aggrieved by the impugned judgment and order for the same reasons as contained in the Special Leave Petition filed by </w:t>
      </w:r>
      <w:proofErr w:type="spellStart"/>
      <w:r w:rsidRPr="007A7423">
        <w:rPr>
          <w:rFonts w:asciiTheme="majorHAnsi" w:eastAsia="Times New Roman" w:hAnsiTheme="majorHAnsi" w:cs="Arial"/>
          <w:sz w:val="20"/>
          <w:szCs w:val="20"/>
        </w:rPr>
        <w:t>Narendra</w:t>
      </w:r>
      <w:proofErr w:type="spellEnd"/>
      <w:r w:rsidRPr="007A7423">
        <w:rPr>
          <w:rFonts w:asciiTheme="majorHAnsi" w:eastAsia="Times New Roman" w:hAnsiTheme="majorHAnsi" w:cs="Arial"/>
          <w:sz w:val="20"/>
          <w:szCs w:val="20"/>
        </w:rPr>
        <w:t xml:space="preserve"> Singh and another. The focal point of challenge in all these appeals, therefore, is the orders passed by the Division Bench of the Punjab and Haryana High Court on 20th December, 2011</w:t>
      </w:r>
      <w:proofErr w:type="gramStart"/>
      <w:r w:rsidRPr="007A7423">
        <w:rPr>
          <w:rFonts w:asciiTheme="majorHAnsi" w:eastAsia="Times New Roman" w:hAnsiTheme="majorHAnsi" w:cs="Arial"/>
          <w:sz w:val="20"/>
          <w:szCs w:val="20"/>
        </w:rPr>
        <w:t>,while</w:t>
      </w:r>
      <w:proofErr w:type="gramEnd"/>
      <w:r w:rsidRPr="007A7423">
        <w:rPr>
          <w:rFonts w:asciiTheme="majorHAnsi" w:eastAsia="Times New Roman" w:hAnsiTheme="majorHAnsi" w:cs="Arial"/>
          <w:sz w:val="20"/>
          <w:szCs w:val="20"/>
        </w:rPr>
        <w:t xml:space="preserve"> disposing of the Letters Patent Appeals preventing the five named MLAs, who are also Appellants before us, from effectively discharging their functions as Members of the </w:t>
      </w:r>
      <w:proofErr w:type="spellStart"/>
      <w:r w:rsidRPr="007A7423">
        <w:rPr>
          <w:rFonts w:asciiTheme="majorHAnsi" w:eastAsia="Times New Roman" w:hAnsiTheme="majorHAnsi" w:cs="Arial"/>
          <w:sz w:val="20"/>
          <w:szCs w:val="20"/>
        </w:rPr>
        <w:t>Vidhan</w:t>
      </w:r>
      <w:proofErr w:type="spellEnd"/>
      <w:r w:rsidRPr="007A7423">
        <w:rPr>
          <w:rFonts w:asciiTheme="majorHAnsi" w:eastAsia="Times New Roman" w:hAnsiTheme="majorHAnsi" w:cs="Arial"/>
          <w:sz w:val="20"/>
          <w:szCs w:val="20"/>
        </w:rPr>
        <w:t xml:space="preserve"> </w:t>
      </w:r>
      <w:proofErr w:type="spellStart"/>
      <w:r w:rsidRPr="007A7423">
        <w:rPr>
          <w:rFonts w:asciiTheme="majorHAnsi" w:eastAsia="Times New Roman" w:hAnsiTheme="majorHAnsi" w:cs="Arial"/>
          <w:sz w:val="20"/>
          <w:szCs w:val="20"/>
        </w:rPr>
        <w:t>Sabha</w:t>
      </w:r>
      <w:proofErr w:type="spellEnd"/>
      <w:r w:rsidRPr="007A7423">
        <w:rPr>
          <w:rFonts w:asciiTheme="majorHAnsi" w:eastAsia="Times New Roman" w:hAnsiTheme="majorHAnsi" w:cs="Arial"/>
          <w:sz w:val="20"/>
          <w:szCs w:val="20"/>
        </w:rPr>
        <w:t>.</w:t>
      </w:r>
    </w:p>
    <w:p w:rsidR="00494987" w:rsidRPr="007B24E2" w:rsidRDefault="00494987" w:rsidP="00494987">
      <w:pPr>
        <w:spacing w:before="100" w:beforeAutospacing="1" w:after="100" w:afterAutospacing="1" w:line="240" w:lineRule="auto"/>
        <w:rPr>
          <w:rFonts w:asciiTheme="majorHAnsi" w:eastAsia="Times New Roman" w:hAnsiTheme="majorHAnsi" w:cs="Arial"/>
          <w:b/>
          <w:sz w:val="20"/>
          <w:szCs w:val="20"/>
        </w:rPr>
      </w:pPr>
      <w:r w:rsidRPr="007B24E2">
        <w:rPr>
          <w:rFonts w:asciiTheme="majorHAnsi" w:eastAsia="Times New Roman" w:hAnsiTheme="majorHAnsi" w:cs="Arial"/>
          <w:b/>
          <w:sz w:val="20"/>
          <w:szCs w:val="20"/>
        </w:rPr>
        <w:t>FACTS</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The 12th Legislative Assembly Elections in Haryana were held on13th October, 2009. After the results of the elections were declared on22nd October, 2009, the Indian National Congress Party (INC)</w:t>
      </w:r>
      <w:proofErr w:type="gramStart"/>
      <w:r w:rsidRPr="00984A88">
        <w:rPr>
          <w:rFonts w:asciiTheme="majorHAnsi" w:eastAsia="Times New Roman" w:hAnsiTheme="majorHAnsi" w:cs="Times New Roman"/>
          <w:sz w:val="20"/>
          <w:szCs w:val="20"/>
        </w:rPr>
        <w:t>,  emerged</w:t>
      </w:r>
      <w:proofErr w:type="gramEnd"/>
      <w:r w:rsidRPr="00984A88">
        <w:rPr>
          <w:rFonts w:asciiTheme="majorHAnsi" w:eastAsia="Times New Roman" w:hAnsiTheme="majorHAnsi" w:cs="Times New Roman"/>
          <w:sz w:val="20"/>
          <w:szCs w:val="20"/>
        </w:rPr>
        <w:t xml:space="preserve"> as the single largest party having won in40 out of the 90 seats in the Assembly. Since it was short of an absolute majority, the INC formed the Government in collaboration with seven independents and one MLA from the </w:t>
      </w:r>
      <w:proofErr w:type="spellStart"/>
      <w:r w:rsidRPr="00984A88">
        <w:rPr>
          <w:rFonts w:asciiTheme="majorHAnsi" w:eastAsia="Times New Roman" w:hAnsiTheme="majorHAnsi" w:cs="Times New Roman"/>
          <w:sz w:val="20"/>
          <w:szCs w:val="20"/>
        </w:rPr>
        <w:t>Bahujan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Samaj</w:t>
      </w:r>
      <w:proofErr w:type="spellEnd"/>
      <w:r w:rsidRPr="00984A88">
        <w:rPr>
          <w:rFonts w:asciiTheme="majorHAnsi" w:eastAsia="Times New Roman" w:hAnsiTheme="majorHAnsi" w:cs="Times New Roman"/>
          <w:sz w:val="20"/>
          <w:szCs w:val="20"/>
        </w:rPr>
        <w:t xml:space="preserve"> Party. </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Subsequently, on9th November, 2009, four Legislative Members of the Haryana </w:t>
      </w:r>
      <w:proofErr w:type="spellStart"/>
      <w:r w:rsidRPr="00984A88">
        <w:rPr>
          <w:rFonts w:asciiTheme="majorHAnsi" w:eastAsia="Times New Roman" w:hAnsiTheme="majorHAnsi" w:cs="Times New Roman"/>
          <w:sz w:val="20"/>
          <w:szCs w:val="20"/>
        </w:rPr>
        <w:t>Janhit</w:t>
      </w:r>
      <w:proofErr w:type="spellEnd"/>
      <w:r w:rsidRPr="00984A88">
        <w:rPr>
          <w:rFonts w:asciiTheme="majorHAnsi" w:eastAsia="Times New Roman" w:hAnsiTheme="majorHAnsi" w:cs="Times New Roman"/>
          <w:sz w:val="20"/>
          <w:szCs w:val="20"/>
        </w:rPr>
        <w:t xml:space="preserve"> </w:t>
      </w:r>
      <w:proofErr w:type="gramStart"/>
      <w:r w:rsidRPr="00984A88">
        <w:rPr>
          <w:rFonts w:asciiTheme="majorHAnsi" w:eastAsia="Times New Roman" w:hAnsiTheme="majorHAnsi" w:cs="Times New Roman"/>
          <w:sz w:val="20"/>
          <w:szCs w:val="20"/>
        </w:rPr>
        <w:t>Congress(</w:t>
      </w:r>
      <w:proofErr w:type="gramEnd"/>
      <w:r w:rsidRPr="00984A88">
        <w:rPr>
          <w:rFonts w:asciiTheme="majorHAnsi" w:eastAsia="Times New Roman" w:hAnsiTheme="majorHAnsi" w:cs="Times New Roman"/>
          <w:sz w:val="20"/>
          <w:szCs w:val="20"/>
        </w:rPr>
        <w:t xml:space="preserve">BL) Party ,    { HJC (BL)},  wrote to the Speaker of their intention to merge the HJC (BL) with the INC in terms of the provisions of paragraph 4 of the Tenth Schedule to the Constitution of India. The Speaker was requested to accept the merger and to recognize the applicant legislators as Members of the INC in the Haryana </w:t>
      </w:r>
      <w:proofErr w:type="spellStart"/>
      <w:r w:rsidRPr="00984A88">
        <w:rPr>
          <w:rFonts w:asciiTheme="majorHAnsi" w:eastAsia="Times New Roman" w:hAnsiTheme="majorHAnsi" w:cs="Times New Roman"/>
          <w:sz w:val="20"/>
          <w:szCs w:val="20"/>
        </w:rPr>
        <w:t>Vidhan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Sabha</w:t>
      </w:r>
      <w:proofErr w:type="spellEnd"/>
      <w:r w:rsidRPr="00984A88">
        <w:rPr>
          <w:rFonts w:asciiTheme="majorHAnsi" w:eastAsia="Times New Roman" w:hAnsiTheme="majorHAnsi" w:cs="Times New Roman"/>
          <w:sz w:val="20"/>
          <w:szCs w:val="20"/>
        </w:rPr>
        <w:t>.</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On hearing the four legislators, namely,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Satpal</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Sangwan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ShriVinod</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Bhayana</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Narendra</w:t>
      </w:r>
      <w:proofErr w:type="spellEnd"/>
      <w:r w:rsidRPr="00984A88">
        <w:rPr>
          <w:rFonts w:asciiTheme="majorHAnsi" w:eastAsia="Times New Roman" w:hAnsiTheme="majorHAnsi" w:cs="Times New Roman"/>
          <w:sz w:val="20"/>
          <w:szCs w:val="20"/>
        </w:rPr>
        <w:t xml:space="preserve"> Singh and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Zile</w:t>
      </w:r>
      <w:proofErr w:type="spellEnd"/>
      <w:r w:rsidRPr="00984A88">
        <w:rPr>
          <w:rFonts w:asciiTheme="majorHAnsi" w:eastAsia="Times New Roman" w:hAnsiTheme="majorHAnsi" w:cs="Times New Roman"/>
          <w:sz w:val="20"/>
          <w:szCs w:val="20"/>
        </w:rPr>
        <w:t xml:space="preserve"> Ram Sharma, who appeared before him, the Speaker by his order dated 9th November, 2009, accepted the merger with immediate effect, purportedly in terms of paragraph 4 of the Tenth Schedule to the Constitution and directed that from the date of his order the said four legislators would be recognized as legislators of the INC in the Haryana </w:t>
      </w:r>
      <w:proofErr w:type="spellStart"/>
      <w:r w:rsidRPr="00984A88">
        <w:rPr>
          <w:rFonts w:asciiTheme="majorHAnsi" w:eastAsia="Times New Roman" w:hAnsiTheme="majorHAnsi" w:cs="Times New Roman"/>
          <w:sz w:val="20"/>
          <w:szCs w:val="20"/>
        </w:rPr>
        <w:t>Vidhan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Sabha</w:t>
      </w:r>
      <w:proofErr w:type="spellEnd"/>
      <w:r w:rsidRPr="00984A88">
        <w:rPr>
          <w:rFonts w:asciiTheme="majorHAnsi" w:eastAsia="Times New Roman" w:hAnsiTheme="majorHAnsi" w:cs="Times New Roman"/>
          <w:sz w:val="20"/>
          <w:szCs w:val="20"/>
        </w:rPr>
        <w:t xml:space="preserve">. </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lastRenderedPageBreak/>
        <w:t xml:space="preserve">Thereafter, a similar request was made to the Speaker by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Dharam</w:t>
      </w:r>
      <w:proofErr w:type="spellEnd"/>
      <w:r w:rsidRPr="00984A88">
        <w:rPr>
          <w:rFonts w:asciiTheme="majorHAnsi" w:eastAsia="Times New Roman" w:hAnsiTheme="majorHAnsi" w:cs="Times New Roman"/>
          <w:sz w:val="20"/>
          <w:szCs w:val="20"/>
        </w:rPr>
        <w:t xml:space="preserve"> Singh, another Member of the </w:t>
      </w:r>
      <w:proofErr w:type="spellStart"/>
      <w:r w:rsidRPr="00984A88">
        <w:rPr>
          <w:rFonts w:asciiTheme="majorHAnsi" w:eastAsia="Times New Roman" w:hAnsiTheme="majorHAnsi" w:cs="Times New Roman"/>
          <w:sz w:val="20"/>
          <w:szCs w:val="20"/>
        </w:rPr>
        <w:t>Vidhan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Sabha</w:t>
      </w:r>
      <w:proofErr w:type="spellEnd"/>
      <w:r w:rsidRPr="00984A88">
        <w:rPr>
          <w:rFonts w:asciiTheme="majorHAnsi" w:eastAsia="Times New Roman" w:hAnsiTheme="majorHAnsi" w:cs="Times New Roman"/>
          <w:sz w:val="20"/>
          <w:szCs w:val="20"/>
        </w:rPr>
        <w:t xml:space="preserve"> elected as a candidate of the HJC (BL) to recognize the merger of the </w:t>
      </w:r>
      <w:proofErr w:type="gramStart"/>
      <w:r w:rsidRPr="00984A88">
        <w:rPr>
          <w:rFonts w:asciiTheme="majorHAnsi" w:eastAsia="Times New Roman" w:hAnsiTheme="majorHAnsi" w:cs="Times New Roman"/>
          <w:sz w:val="20"/>
          <w:szCs w:val="20"/>
        </w:rPr>
        <w:t>HJC(</w:t>
      </w:r>
      <w:proofErr w:type="gramEnd"/>
      <w:r w:rsidRPr="00984A88">
        <w:rPr>
          <w:rFonts w:asciiTheme="majorHAnsi" w:eastAsia="Times New Roman" w:hAnsiTheme="majorHAnsi" w:cs="Times New Roman"/>
          <w:sz w:val="20"/>
          <w:szCs w:val="20"/>
        </w:rPr>
        <w:t xml:space="preserve">BL) with the INC and to also recognize him, along with the other four legislators, as Members of the INC in the Haryana </w:t>
      </w:r>
      <w:proofErr w:type="spellStart"/>
      <w:r w:rsidRPr="00984A88">
        <w:rPr>
          <w:rFonts w:asciiTheme="majorHAnsi" w:eastAsia="Times New Roman" w:hAnsiTheme="majorHAnsi" w:cs="Times New Roman"/>
          <w:sz w:val="20"/>
          <w:szCs w:val="20"/>
        </w:rPr>
        <w:t>Vidhan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Sabha</w:t>
      </w:r>
      <w:proofErr w:type="spellEnd"/>
      <w:r w:rsidRPr="00984A88">
        <w:rPr>
          <w:rFonts w:asciiTheme="majorHAnsi" w:eastAsia="Times New Roman" w:hAnsiTheme="majorHAnsi" w:cs="Times New Roman"/>
          <w:sz w:val="20"/>
          <w:szCs w:val="20"/>
        </w:rPr>
        <w:t xml:space="preserve">. Subsequently, another application was filed by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Dharam</w:t>
      </w:r>
      <w:proofErr w:type="spellEnd"/>
      <w:r w:rsidRPr="00984A88">
        <w:rPr>
          <w:rFonts w:asciiTheme="majorHAnsi" w:eastAsia="Times New Roman" w:hAnsiTheme="majorHAnsi" w:cs="Times New Roman"/>
          <w:sz w:val="20"/>
          <w:szCs w:val="20"/>
        </w:rPr>
        <w:t xml:space="preserve"> Singh before the Speaker on 10th November, 2009, requesting him to be recognized as a part of the INC in the Haryana </w:t>
      </w:r>
      <w:proofErr w:type="spellStart"/>
      <w:r w:rsidRPr="00984A88">
        <w:rPr>
          <w:rFonts w:asciiTheme="majorHAnsi" w:eastAsia="Times New Roman" w:hAnsiTheme="majorHAnsi" w:cs="Times New Roman"/>
          <w:sz w:val="20"/>
          <w:szCs w:val="20"/>
        </w:rPr>
        <w:t>Vidhan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Sabha</w:t>
      </w:r>
      <w:proofErr w:type="spellEnd"/>
      <w:r w:rsidRPr="00984A88">
        <w:rPr>
          <w:rFonts w:asciiTheme="majorHAnsi" w:eastAsia="Times New Roman" w:hAnsiTheme="majorHAnsi" w:cs="Times New Roman"/>
          <w:sz w:val="20"/>
          <w:szCs w:val="20"/>
        </w:rPr>
        <w:t xml:space="preserve">. The Speaker by a separate order dated 10th November, 2009, allowed the said application upon holding that the same was in consonance with paragraph 4(1) of the Tenth Schedule to </w:t>
      </w:r>
      <w:proofErr w:type="spellStart"/>
      <w:r w:rsidRPr="00984A88">
        <w:rPr>
          <w:rFonts w:asciiTheme="majorHAnsi" w:eastAsia="Times New Roman" w:hAnsiTheme="majorHAnsi" w:cs="Times New Roman"/>
          <w:sz w:val="20"/>
          <w:szCs w:val="20"/>
        </w:rPr>
        <w:t>theConstitution</w:t>
      </w:r>
      <w:proofErr w:type="spellEnd"/>
      <w:r w:rsidRPr="00984A88">
        <w:rPr>
          <w:rFonts w:asciiTheme="majorHAnsi" w:eastAsia="Times New Roman" w:hAnsiTheme="majorHAnsi" w:cs="Times New Roman"/>
          <w:sz w:val="20"/>
          <w:szCs w:val="20"/>
        </w:rPr>
        <w:t>.</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Challenging the aforesaid orders, the Respondent No.1,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Kuldeep</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Bishnoi</w:t>
      </w:r>
      <w:proofErr w:type="spellEnd"/>
      <w:r w:rsidRPr="00984A88">
        <w:rPr>
          <w:rFonts w:asciiTheme="majorHAnsi" w:eastAsia="Times New Roman" w:hAnsiTheme="majorHAnsi" w:cs="Times New Roman"/>
          <w:sz w:val="20"/>
          <w:szCs w:val="20"/>
        </w:rPr>
        <w:t>, filed five separate petitions before the Speaker under Article 191 read with the Tenth Schedule to the Constitution of India and the Haryana Legislative Assembly (Disqualification of Members on Ground of Defection) Rules, 1986, on the ground that they had voluntarily given up the membership of their original political party and had joined the INC in violation of the provisions of paragraph 4(1) of the Tenth Schedule.</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On receipt of the said petitions, the Speaker forwarded copies thereof to the concerned MLAs, asking them to submit their comments within a period of three weeks. On 7th April, 2010, applications were received by the Speaker from the concerned MLAs praying for time to file their written statement. The matter was accordingly adjourned and further time was granted to the concerned MLAs to file their explanation. </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The Respondent No.1,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Kuldeep</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Bishnoi</w:t>
      </w:r>
      <w:proofErr w:type="spellEnd"/>
      <w:r w:rsidRPr="00984A88">
        <w:rPr>
          <w:rFonts w:asciiTheme="majorHAnsi" w:eastAsia="Times New Roman" w:hAnsiTheme="majorHAnsi" w:cs="Times New Roman"/>
          <w:sz w:val="20"/>
          <w:szCs w:val="20"/>
        </w:rPr>
        <w:t xml:space="preserve">, however, filed a Writ Petition, being C.W.P. No.14194 of 2010, in the Punjab &amp; Haryana High Court, seeking quashing of the orders passed by the Speaker on 9th and 10th November, 2009, and also for a declaration that the five MLAs in question were disqualified from the membership of the Haryana </w:t>
      </w:r>
      <w:proofErr w:type="spellStart"/>
      <w:r w:rsidRPr="00984A88">
        <w:rPr>
          <w:rFonts w:asciiTheme="majorHAnsi" w:eastAsia="Times New Roman" w:hAnsiTheme="majorHAnsi" w:cs="Times New Roman"/>
          <w:sz w:val="20"/>
          <w:szCs w:val="20"/>
        </w:rPr>
        <w:t>Vidhan</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Sabha</w:t>
      </w:r>
      <w:proofErr w:type="spellEnd"/>
      <w:r w:rsidRPr="00984A88">
        <w:rPr>
          <w:rFonts w:asciiTheme="majorHAnsi" w:eastAsia="Times New Roman" w:hAnsiTheme="majorHAnsi" w:cs="Times New Roman"/>
          <w:sz w:val="20"/>
          <w:szCs w:val="20"/>
        </w:rPr>
        <w:t>, and, in the alternative, for a direction on the Speaker to dispose of the disqualification petitions within a period of three months. Notice of motion was issued to the Respondents on 16th August, 2010, directing them to enter appearance and to file their written statements, within three days before the next date of hearing fixed on 1st September, 2010, either in person or through a duly-instructed Advocate.</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On receipt of notice from the High Court, the Speaker by his order dated 30th August, 2010, adjourned the hearing of the disqualification petitions sine die. On 20th December, 2010, the learned Single Judge of the High Court allowed the Writ Petition and directed the Speaker to finally decide the disqualification petitions pending before him within a period of four months from the date of receipt of the certified copy of the order, which direction has given rise to the question as to whether the High Court in its jurisdiction under Articles 226 and 227 of the Constitution was competent to issue such a direction to the Speaker who was himself a constitutional authority.</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In terms of the order passed by the learned Single Judge, the date of hearing of the five disqualification petitions was fixed for 20thJanuary, 2011, by the Speaker. On the said date, </w:t>
      </w:r>
      <w:proofErr w:type="spellStart"/>
      <w:r w:rsidRPr="00984A88">
        <w:rPr>
          <w:rFonts w:asciiTheme="majorHAnsi" w:eastAsia="Times New Roman" w:hAnsiTheme="majorHAnsi" w:cs="Times New Roman"/>
          <w:sz w:val="20"/>
          <w:szCs w:val="20"/>
        </w:rPr>
        <w:t>Dharam</w:t>
      </w:r>
      <w:proofErr w:type="spellEnd"/>
      <w:r w:rsidRPr="00984A88">
        <w:rPr>
          <w:rFonts w:asciiTheme="majorHAnsi" w:eastAsia="Times New Roman" w:hAnsiTheme="majorHAnsi" w:cs="Times New Roman"/>
          <w:sz w:val="20"/>
          <w:szCs w:val="20"/>
        </w:rPr>
        <w:t xml:space="preserve"> Singh, one of the Appellants before us, filed his reply before the Speaker along with an application for striking out "the scandalous, frivolous and vexatious "averments made in the disqualification petition. The matters had to be adjourned on the said date till 4th February, 2011, to enable the Writ Petitioner to file his reply to the said application and for further consideration.</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On the very next day, Appeal was filed by the Speaker, challenging the order passed by the learned Single Judge of the High Court on 20th December, 2010. On 1st March, 2011, the said LPA was listed before the Division Bench which stayed the operation of the judgment of the learned Single Judge. A submission was also made by the learned Solicitor General of India, appearing on behalf of the Speaker, that every attempt would be made to dispose of the disqualification petitions as expeditiously as possible.</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On 20th April, 2011, counsel for the parties were heard and order was reserved on the application under Order 6 Rules 2 and 16 of the Code of Civil Procedure, which had been filed by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Dharam</w:t>
      </w:r>
      <w:proofErr w:type="spellEnd"/>
      <w:r w:rsidRPr="00984A88">
        <w:rPr>
          <w:rFonts w:asciiTheme="majorHAnsi" w:eastAsia="Times New Roman" w:hAnsiTheme="majorHAnsi" w:cs="Times New Roman"/>
          <w:sz w:val="20"/>
          <w:szCs w:val="20"/>
        </w:rPr>
        <w:t xml:space="preserve"> Singh. By his order the Speaker dismissed the said application filed by </w:t>
      </w:r>
      <w:proofErr w:type="spellStart"/>
      <w:r w:rsidRPr="00984A88">
        <w:rPr>
          <w:rFonts w:asciiTheme="majorHAnsi" w:eastAsia="Times New Roman" w:hAnsiTheme="majorHAnsi" w:cs="Times New Roman"/>
          <w:sz w:val="20"/>
          <w:szCs w:val="20"/>
        </w:rPr>
        <w:t>Dharam</w:t>
      </w:r>
      <w:proofErr w:type="spellEnd"/>
      <w:r w:rsidRPr="00984A88">
        <w:rPr>
          <w:rFonts w:asciiTheme="majorHAnsi" w:eastAsia="Times New Roman" w:hAnsiTheme="majorHAnsi" w:cs="Times New Roman"/>
          <w:sz w:val="20"/>
          <w:szCs w:val="20"/>
        </w:rPr>
        <w:t xml:space="preserve"> Singh and </w:t>
      </w:r>
      <w:proofErr w:type="spellStart"/>
      <w:r w:rsidRPr="00984A88">
        <w:rPr>
          <w:rFonts w:asciiTheme="majorHAnsi" w:eastAsia="Times New Roman" w:hAnsiTheme="majorHAnsi" w:cs="Times New Roman"/>
          <w:sz w:val="20"/>
          <w:szCs w:val="20"/>
        </w:rPr>
        <w:t>Shri</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Kuldeep</w:t>
      </w:r>
      <w:proofErr w:type="spellEnd"/>
      <w:r w:rsidRPr="00984A88">
        <w:rPr>
          <w:rFonts w:asciiTheme="majorHAnsi" w:eastAsia="Times New Roman" w:hAnsiTheme="majorHAnsi" w:cs="Times New Roman"/>
          <w:sz w:val="20"/>
          <w:szCs w:val="20"/>
        </w:rPr>
        <w:t xml:space="preserve"> </w:t>
      </w:r>
      <w:proofErr w:type="spellStart"/>
      <w:r w:rsidRPr="00984A88">
        <w:rPr>
          <w:rFonts w:asciiTheme="majorHAnsi" w:eastAsia="Times New Roman" w:hAnsiTheme="majorHAnsi" w:cs="Times New Roman"/>
          <w:sz w:val="20"/>
          <w:szCs w:val="20"/>
        </w:rPr>
        <w:t>Bishnoi</w:t>
      </w:r>
      <w:proofErr w:type="spellEnd"/>
      <w:r w:rsidRPr="00984A88">
        <w:rPr>
          <w:rFonts w:asciiTheme="majorHAnsi" w:eastAsia="Times New Roman" w:hAnsiTheme="majorHAnsi" w:cs="Times New Roman"/>
          <w:sz w:val="20"/>
          <w:szCs w:val="20"/>
        </w:rPr>
        <w:t xml:space="preserve"> was directed to file his list of witnesses along with their affidavits within 15 days from the date of the order. </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lastRenderedPageBreak/>
        <w:t xml:space="preserve">Finally, the Division Bench took up the Appeals on 2ndDecember, 2011, when directions were given for production of the entire records of the matter pending before the Speaker. </w:t>
      </w:r>
      <w:proofErr w:type="gramStart"/>
      <w:r w:rsidRPr="00984A88">
        <w:rPr>
          <w:rFonts w:asciiTheme="majorHAnsi" w:eastAsia="Times New Roman" w:hAnsiTheme="majorHAnsi" w:cs="Times New Roman"/>
          <w:sz w:val="20"/>
          <w:szCs w:val="20"/>
        </w:rPr>
        <w:t>the</w:t>
      </w:r>
      <w:proofErr w:type="gramEnd"/>
      <w:r w:rsidRPr="00984A88">
        <w:rPr>
          <w:rFonts w:asciiTheme="majorHAnsi" w:eastAsia="Times New Roman" w:hAnsiTheme="majorHAnsi" w:cs="Times New Roman"/>
          <w:sz w:val="20"/>
          <w:szCs w:val="20"/>
        </w:rPr>
        <w:t xml:space="preserve"> High Court proceeded to pronounce its judgment on the Appeals. By its judgment the Division Bench upheld the directions of the learned Single Judge directing the Speaker to decide the disqualification petitions within a period of four months. </w:t>
      </w:r>
    </w:p>
    <w:p w:rsidR="00494987" w:rsidRPr="00984A88"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984A88">
        <w:rPr>
          <w:rFonts w:asciiTheme="majorHAnsi" w:eastAsia="Times New Roman" w:hAnsiTheme="majorHAnsi" w:cs="Times New Roman"/>
          <w:sz w:val="20"/>
          <w:szCs w:val="20"/>
        </w:rPr>
        <w:t xml:space="preserve">However, while disposing of the matter, the Division Bench stayed the operation of the orders passed by the Speaker on the merger of the HJC (BL) with the INC dated 9th November, 2009 and 10th November, 2009. It also declared the five MLAs, who have filed separate appeals before this Court, as being unattached members of the Assembly with the right to attend the Sessions only. It was directed that they would not be treated either as a part of the INC or the </w:t>
      </w:r>
      <w:proofErr w:type="gramStart"/>
      <w:r w:rsidRPr="00984A88">
        <w:rPr>
          <w:rFonts w:asciiTheme="majorHAnsi" w:eastAsia="Times New Roman" w:hAnsiTheme="majorHAnsi" w:cs="Times New Roman"/>
          <w:sz w:val="20"/>
          <w:szCs w:val="20"/>
        </w:rPr>
        <w:t>HJC(</w:t>
      </w:r>
      <w:proofErr w:type="gramEnd"/>
      <w:r w:rsidRPr="00984A88">
        <w:rPr>
          <w:rFonts w:asciiTheme="majorHAnsi" w:eastAsia="Times New Roman" w:hAnsiTheme="majorHAnsi" w:cs="Times New Roman"/>
          <w:sz w:val="20"/>
          <w:szCs w:val="20"/>
        </w:rPr>
        <w:t xml:space="preserve">BL) Party, with a further direction that they would not hold any office either. </w:t>
      </w:r>
    </w:p>
    <w:p w:rsidR="00494987" w:rsidRPr="000D0EA7" w:rsidRDefault="00494987" w:rsidP="00494987">
      <w:pPr>
        <w:spacing w:before="100" w:beforeAutospacing="1" w:after="100" w:afterAutospacing="1" w:line="240" w:lineRule="auto"/>
        <w:rPr>
          <w:rFonts w:asciiTheme="majorHAnsi" w:eastAsia="Times New Roman" w:hAnsiTheme="majorHAnsi" w:cs="Times New Roman"/>
          <w:b/>
          <w:sz w:val="20"/>
          <w:szCs w:val="20"/>
        </w:rPr>
      </w:pPr>
      <w:r w:rsidRPr="000D0EA7">
        <w:rPr>
          <w:rFonts w:asciiTheme="majorHAnsi" w:eastAsia="Times New Roman" w:hAnsiTheme="majorHAnsi" w:cs="Arial"/>
          <w:b/>
          <w:sz w:val="20"/>
          <w:szCs w:val="20"/>
        </w:rPr>
        <w:t>SUBSTANTIAL QUESTIONS OF LAW IN THE CASE:</w:t>
      </w:r>
    </w:p>
    <w:p w:rsidR="00494987" w:rsidRPr="007A7423"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a. Whether the High Court in exercise of its powers under Articles 226 and 227 of the Constitution, has the jurisdiction to issue directions of an interim nature to a Member of the House while a disqualification petition of such Member is pending before the Speaker of a State Legislative Assembly under Article 191 read with the Tenth Schedule to the Constitution of India?</w:t>
      </w:r>
    </w:p>
    <w:p w:rsidR="00494987" w:rsidRPr="007A7423"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b. Whether even in exercise of its powers of judicial review, the High Court, as a constitutional authority, can issue mandatory directions to the Speaker of a State Assembly, who is himself a constitutional authority, to dispose of a disqualification petition within a specified time?</w:t>
      </w:r>
    </w:p>
    <w:p w:rsidR="00494987" w:rsidRDefault="00494987" w:rsidP="00494987">
      <w:pPr>
        <w:spacing w:before="100" w:beforeAutospacing="1" w:after="100" w:afterAutospacing="1" w:line="240" w:lineRule="auto"/>
        <w:rPr>
          <w:rFonts w:asciiTheme="majorHAnsi" w:eastAsia="Times New Roman" w:hAnsiTheme="majorHAnsi" w:cs="Arial"/>
          <w:sz w:val="20"/>
          <w:szCs w:val="20"/>
        </w:rPr>
      </w:pPr>
      <w:r w:rsidRPr="007A7423">
        <w:rPr>
          <w:rFonts w:asciiTheme="majorHAnsi" w:eastAsia="Times New Roman" w:hAnsiTheme="majorHAnsi" w:cs="Arial"/>
          <w:sz w:val="20"/>
          <w:szCs w:val="20"/>
        </w:rPr>
        <w:t>c. Can the High Court, in its writ jurisdiction, interfere with the disqualification proceedings pending before the Speaker and pass an order temporarily disqualifying a Member of the State Legislative Assembly,</w:t>
      </w:r>
    </w:p>
    <w:p w:rsidR="00494987" w:rsidRPr="007A7423"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 xml:space="preserve">d. When a disqualification petition filed under Article 191 read with the Tenth Schedule to the Constitution of India is pending consideration before the Speaker, can a parallel Writ Petition, seeking the same relief, be proceeded with simultaneously? </w:t>
      </w:r>
    </w:p>
    <w:p w:rsidR="00494987" w:rsidRPr="00EC43EC" w:rsidRDefault="00494987" w:rsidP="00494987">
      <w:pPr>
        <w:spacing w:before="100" w:beforeAutospacing="1" w:after="100" w:afterAutospacing="1" w:line="240" w:lineRule="auto"/>
        <w:rPr>
          <w:rFonts w:asciiTheme="majorHAnsi" w:eastAsia="Times New Roman" w:hAnsiTheme="majorHAnsi" w:cs="Times New Roman"/>
          <w:sz w:val="20"/>
          <w:szCs w:val="20"/>
        </w:rPr>
      </w:pPr>
      <w:r w:rsidRPr="007A7423">
        <w:rPr>
          <w:rFonts w:asciiTheme="majorHAnsi" w:eastAsia="Times New Roman" w:hAnsiTheme="majorHAnsi" w:cs="Arial"/>
          <w:sz w:val="20"/>
          <w:szCs w:val="20"/>
        </w:rPr>
        <w:t>e. Did the High Court have jurisdiction to give directions under Order 41 Rule 33 of the Code of Civil Procedure, despite the express bar contained in the Explanation to Section 141 of the Code of Civil Procedure, in proceedings under Article 226 of the Constitution?</w:t>
      </w:r>
    </w:p>
    <w:p w:rsidR="00494987" w:rsidRPr="000D0EA7" w:rsidRDefault="00494987" w:rsidP="00494987">
      <w:pPr>
        <w:spacing w:before="100" w:beforeAutospacing="1" w:after="100" w:afterAutospacing="1" w:line="240" w:lineRule="auto"/>
        <w:rPr>
          <w:rFonts w:asciiTheme="majorHAnsi" w:eastAsia="Times New Roman" w:hAnsiTheme="majorHAnsi" w:cs="Arial"/>
          <w:b/>
          <w:sz w:val="20"/>
          <w:szCs w:val="20"/>
        </w:rPr>
      </w:pPr>
      <w:r>
        <w:rPr>
          <w:rFonts w:asciiTheme="majorHAnsi" w:eastAsia="Times New Roman" w:hAnsiTheme="majorHAnsi" w:cs="Arial"/>
          <w:b/>
          <w:sz w:val="20"/>
          <w:szCs w:val="20"/>
        </w:rPr>
        <w:t xml:space="preserve">OBSERVATION </w:t>
      </w:r>
    </w:p>
    <w:p w:rsidR="00494987" w:rsidRPr="009D2B38" w:rsidRDefault="00494987" w:rsidP="00494987">
      <w:pPr>
        <w:spacing w:before="100" w:beforeAutospacing="1" w:after="100" w:afterAutospacing="1" w:line="240" w:lineRule="auto"/>
        <w:rPr>
          <w:rFonts w:asciiTheme="majorHAnsi" w:eastAsia="Times New Roman" w:hAnsiTheme="majorHAnsi" w:cs="Arial"/>
          <w:sz w:val="20"/>
          <w:szCs w:val="20"/>
        </w:rPr>
      </w:pPr>
      <w:r w:rsidRPr="009D2B38">
        <w:rPr>
          <w:rFonts w:asciiTheme="majorHAnsi" w:eastAsia="Times New Roman" w:hAnsiTheme="majorHAnsi" w:cs="Arial"/>
          <w:sz w:val="20"/>
          <w:szCs w:val="20"/>
        </w:rPr>
        <w:t>The merger of the original political party of a Member of the House, shall be deemed to have taken place if, and only if, not less than two-thirds of the Members of the legislature party concerned agreed to such merger. In other words, a formula has been laid down in paragraph 4 of the Tenth Schedule to the Constitution, whereby such Members as came within such formula could not be disqualified on ground of defection in case of the merger of his original political party with another political party in the circumstances indicated in paragraph 4(1) of the Tenth Schedule to the Constitution.</w:t>
      </w:r>
    </w:p>
    <w:p w:rsidR="00494987" w:rsidRPr="009D2B38" w:rsidRDefault="00494987" w:rsidP="00494987">
      <w:pPr>
        <w:spacing w:before="100" w:beforeAutospacing="1" w:after="100" w:afterAutospacing="1" w:line="240" w:lineRule="auto"/>
        <w:rPr>
          <w:rFonts w:asciiTheme="majorHAnsi" w:eastAsia="Times New Roman" w:hAnsiTheme="majorHAnsi" w:cs="Arial"/>
          <w:sz w:val="20"/>
          <w:szCs w:val="20"/>
        </w:rPr>
      </w:pPr>
      <w:r w:rsidRPr="009D2B38">
        <w:rPr>
          <w:rFonts w:asciiTheme="majorHAnsi" w:eastAsia="Times New Roman" w:hAnsiTheme="majorHAnsi" w:cs="Arial"/>
          <w:sz w:val="20"/>
          <w:szCs w:val="20"/>
        </w:rPr>
        <w:t xml:space="preserve">The scheme of the Tenth Schedule to the Constitution indicates that the Speaker is not competent to take a decision with regard to disqualification on ground of defection, without a determination under paragraph 4, and paragraph 6 in no uncertain terms lays down that if any question arises as to whether a Member of the House has become subject to disqualification, the said question would be referred to the Speaker of such House whose decision would be final. </w:t>
      </w:r>
    </w:p>
    <w:p w:rsidR="00494987" w:rsidRPr="009D2B38" w:rsidRDefault="00494987" w:rsidP="00494987">
      <w:pPr>
        <w:spacing w:before="100" w:beforeAutospacing="1" w:after="100" w:afterAutospacing="1" w:line="240" w:lineRule="auto"/>
        <w:rPr>
          <w:rFonts w:asciiTheme="majorHAnsi" w:eastAsia="Times New Roman" w:hAnsiTheme="majorHAnsi" w:cs="Arial"/>
          <w:sz w:val="20"/>
          <w:szCs w:val="20"/>
        </w:rPr>
      </w:pPr>
      <w:r w:rsidRPr="009D2B38">
        <w:rPr>
          <w:rFonts w:asciiTheme="majorHAnsi" w:eastAsia="Times New Roman" w:hAnsiTheme="majorHAnsi" w:cs="Arial"/>
          <w:sz w:val="20"/>
          <w:szCs w:val="20"/>
        </w:rPr>
        <w:t xml:space="preserve">The finality of the decisions of the Speaker was in regard to paragraph 6 since the Speaker was not competent to decide a question as to whether there has been a split or merger under paragraph 4. </w:t>
      </w:r>
      <w:r>
        <w:rPr>
          <w:rFonts w:asciiTheme="majorHAnsi" w:eastAsia="Times New Roman" w:hAnsiTheme="majorHAnsi" w:cs="Arial"/>
          <w:sz w:val="20"/>
          <w:szCs w:val="20"/>
        </w:rPr>
        <w:t>{</w:t>
      </w:r>
      <w:r w:rsidRPr="009D2B38">
        <w:rPr>
          <w:rFonts w:asciiTheme="majorHAnsi" w:eastAsia="Times New Roman" w:hAnsiTheme="majorHAnsi" w:cs="Arial"/>
          <w:i/>
          <w:sz w:val="20"/>
          <w:szCs w:val="20"/>
        </w:rPr>
        <w:t xml:space="preserve">The said question was considered by the Constitution Bench in </w:t>
      </w:r>
      <w:proofErr w:type="spellStart"/>
      <w:r w:rsidRPr="009D2B38">
        <w:rPr>
          <w:rFonts w:asciiTheme="majorHAnsi" w:eastAsia="Times New Roman" w:hAnsiTheme="majorHAnsi" w:cs="Arial"/>
          <w:i/>
          <w:sz w:val="20"/>
          <w:szCs w:val="20"/>
        </w:rPr>
        <w:t>Rajendra</w:t>
      </w:r>
      <w:proofErr w:type="spellEnd"/>
      <w:r w:rsidRPr="009D2B38">
        <w:rPr>
          <w:rFonts w:asciiTheme="majorHAnsi" w:eastAsia="Times New Roman" w:hAnsiTheme="majorHAnsi" w:cs="Arial"/>
          <w:i/>
          <w:sz w:val="20"/>
          <w:szCs w:val="20"/>
        </w:rPr>
        <w:t xml:space="preserve"> Singh </w:t>
      </w:r>
      <w:proofErr w:type="spellStart"/>
      <w:r w:rsidRPr="009D2B38">
        <w:rPr>
          <w:rFonts w:asciiTheme="majorHAnsi" w:eastAsia="Times New Roman" w:hAnsiTheme="majorHAnsi" w:cs="Arial"/>
          <w:i/>
          <w:sz w:val="20"/>
          <w:szCs w:val="20"/>
        </w:rPr>
        <w:t>Rana's</w:t>
      </w:r>
      <w:proofErr w:type="spellEnd"/>
      <w:r w:rsidRPr="009D2B38">
        <w:rPr>
          <w:rFonts w:asciiTheme="majorHAnsi" w:eastAsia="Times New Roman" w:hAnsiTheme="majorHAnsi" w:cs="Arial"/>
          <w:i/>
          <w:sz w:val="20"/>
          <w:szCs w:val="20"/>
        </w:rPr>
        <w:t xml:space="preserve"> case.}</w:t>
      </w:r>
      <w:r w:rsidRPr="009D2B38">
        <w:rPr>
          <w:rFonts w:asciiTheme="majorHAnsi" w:eastAsia="Times New Roman" w:hAnsiTheme="majorHAnsi" w:cs="Arial"/>
          <w:sz w:val="20"/>
          <w:szCs w:val="20"/>
        </w:rPr>
        <w:t xml:space="preserve"> While construing the provisions of the </w:t>
      </w:r>
      <w:r w:rsidRPr="009D2B38">
        <w:rPr>
          <w:rFonts w:asciiTheme="majorHAnsi" w:eastAsia="Times New Roman" w:hAnsiTheme="majorHAnsi" w:cs="Arial"/>
          <w:sz w:val="20"/>
          <w:szCs w:val="20"/>
        </w:rPr>
        <w:lastRenderedPageBreak/>
        <w:t>Tenth Schedule to the Constitution in relation to Articles 102 and 191 of the Constitution, the Constitution Bench observed that the whole proceedings under the Tenth Schedule gets initiated as a</w:t>
      </w:r>
      <w:r>
        <w:rPr>
          <w:rFonts w:asciiTheme="majorHAnsi" w:eastAsia="Times New Roman" w:hAnsiTheme="majorHAnsi" w:cs="Arial"/>
          <w:sz w:val="20"/>
          <w:szCs w:val="20"/>
        </w:rPr>
        <w:t xml:space="preserve"> </w:t>
      </w:r>
      <w:r w:rsidRPr="009D2B38">
        <w:rPr>
          <w:rFonts w:asciiTheme="majorHAnsi" w:eastAsia="Times New Roman" w:hAnsiTheme="majorHAnsi" w:cs="Arial"/>
          <w:sz w:val="20"/>
          <w:szCs w:val="20"/>
        </w:rPr>
        <w:t xml:space="preserve">part of disqualification proceedings. </w:t>
      </w:r>
    </w:p>
    <w:p w:rsidR="00494987" w:rsidRPr="009D2B38" w:rsidRDefault="00494987" w:rsidP="00494987">
      <w:pPr>
        <w:spacing w:before="100" w:beforeAutospacing="1" w:after="100" w:afterAutospacing="1" w:line="240" w:lineRule="auto"/>
        <w:rPr>
          <w:rFonts w:asciiTheme="majorHAnsi" w:eastAsia="Times New Roman" w:hAnsiTheme="majorHAnsi" w:cs="Arial"/>
          <w:sz w:val="20"/>
          <w:szCs w:val="20"/>
        </w:rPr>
      </w:pPr>
      <w:r w:rsidRPr="009D2B38">
        <w:rPr>
          <w:rFonts w:asciiTheme="majorHAnsi" w:eastAsia="Times New Roman" w:hAnsiTheme="majorHAnsi" w:cs="Arial"/>
          <w:sz w:val="20"/>
          <w:szCs w:val="20"/>
        </w:rPr>
        <w:t>Hence, determination of the question of split or merger could not be divorced from the motion before the Speaker seeking a disqualification of the Member or Members concerned under paragraph 6 of the Tenth Schedule. Under the scheme of the Tenth Schedule the Speaker does not have an independent power to decide that there has been split or merger as contemplated by paragraphs 3 and 4 respectively and such a decision can be taken only when the question of disqualification arises in a proceeding under paragraph 6. It is only after a final decision is rendered by the Speaker under paragraph 6 of the Tenth Schedule to the Constitution that the jurisdiction of the High Court under Article226 of the Constitution can be invoked.</w:t>
      </w:r>
    </w:p>
    <w:p w:rsidR="00494987" w:rsidRPr="009D2B38" w:rsidRDefault="00494987" w:rsidP="00494987">
      <w:pPr>
        <w:spacing w:before="100" w:beforeAutospacing="1" w:after="100" w:afterAutospacing="1" w:line="240" w:lineRule="auto"/>
        <w:rPr>
          <w:rFonts w:asciiTheme="majorHAnsi" w:eastAsia="Times New Roman" w:hAnsiTheme="majorHAnsi" w:cs="Arial"/>
          <w:i/>
          <w:sz w:val="20"/>
          <w:szCs w:val="20"/>
        </w:rPr>
      </w:pPr>
      <w:r>
        <w:rPr>
          <w:rFonts w:asciiTheme="majorHAnsi" w:eastAsia="Times New Roman" w:hAnsiTheme="majorHAnsi" w:cs="Arial"/>
          <w:sz w:val="20"/>
          <w:szCs w:val="20"/>
        </w:rPr>
        <w:t>T</w:t>
      </w:r>
      <w:r w:rsidRPr="009D2B38">
        <w:rPr>
          <w:rFonts w:asciiTheme="majorHAnsi" w:eastAsia="Times New Roman" w:hAnsiTheme="majorHAnsi" w:cs="Arial"/>
          <w:sz w:val="20"/>
          <w:szCs w:val="20"/>
        </w:rPr>
        <w:t xml:space="preserve">hese appeals are being decided in the background of the complaint made to the effect that interim orders have been passed by the High Court in purported exercise of its powers to judicial review under Articles 226 and 227 of the Constitution, when the disqualification proceedings were pending before the Speaker. In that regard, </w:t>
      </w:r>
      <w:r>
        <w:rPr>
          <w:rFonts w:asciiTheme="majorHAnsi" w:eastAsia="Times New Roman" w:hAnsiTheme="majorHAnsi" w:cs="Arial"/>
          <w:sz w:val="20"/>
          <w:szCs w:val="20"/>
        </w:rPr>
        <w:t xml:space="preserve">the court </w:t>
      </w:r>
      <w:proofErr w:type="gramStart"/>
      <w:r>
        <w:rPr>
          <w:rFonts w:asciiTheme="majorHAnsi" w:eastAsia="Times New Roman" w:hAnsiTheme="majorHAnsi" w:cs="Arial"/>
          <w:sz w:val="20"/>
          <w:szCs w:val="20"/>
        </w:rPr>
        <w:t xml:space="preserve">held </w:t>
      </w:r>
      <w:r w:rsidRPr="009D2B38">
        <w:rPr>
          <w:rFonts w:asciiTheme="majorHAnsi" w:eastAsia="Times New Roman" w:hAnsiTheme="majorHAnsi" w:cs="Arial"/>
          <w:sz w:val="20"/>
          <w:szCs w:val="20"/>
        </w:rPr>
        <w:t xml:space="preserve"> the</w:t>
      </w:r>
      <w:proofErr w:type="gramEnd"/>
      <w:r w:rsidRPr="009D2B38">
        <w:rPr>
          <w:rFonts w:asciiTheme="majorHAnsi" w:eastAsia="Times New Roman" w:hAnsiTheme="majorHAnsi" w:cs="Arial"/>
          <w:sz w:val="20"/>
          <w:szCs w:val="20"/>
        </w:rPr>
        <w:t xml:space="preserve"> view that </w:t>
      </w:r>
      <w:r w:rsidRPr="009D2B38">
        <w:rPr>
          <w:rFonts w:asciiTheme="majorHAnsi" w:eastAsia="Times New Roman" w:hAnsiTheme="majorHAnsi" w:cs="Arial"/>
          <w:i/>
          <w:sz w:val="20"/>
          <w:szCs w:val="20"/>
        </w:rPr>
        <w:t xml:space="preserve">since the decision of the Speaker on a petition under paragraph 4 of the Tenth Schedule concerns only a question of merger on which the Speaker is not entitled to adjudicate, the High Court could not have assumed jurisdiction under its powers of review before a decision was taken by the Speaker under paragraph 6 of the Tenth Schedule to the Constitution. </w:t>
      </w:r>
    </w:p>
    <w:p w:rsidR="00494987" w:rsidRPr="009D2B38" w:rsidRDefault="00494987" w:rsidP="00494987">
      <w:pPr>
        <w:spacing w:before="100" w:beforeAutospacing="1" w:after="100" w:afterAutospacing="1" w:line="240" w:lineRule="auto"/>
        <w:rPr>
          <w:rFonts w:asciiTheme="majorHAnsi" w:eastAsia="Times New Roman" w:hAnsiTheme="majorHAnsi" w:cs="Arial"/>
          <w:sz w:val="20"/>
          <w:szCs w:val="20"/>
        </w:rPr>
      </w:pPr>
      <w:r w:rsidRPr="009D2B38">
        <w:rPr>
          <w:rFonts w:asciiTheme="majorHAnsi" w:eastAsia="Times New Roman" w:hAnsiTheme="majorHAnsi" w:cs="Arial"/>
          <w:sz w:val="20"/>
          <w:szCs w:val="20"/>
        </w:rPr>
        <w:t>It is in fact in a proceeding under paragraph 6 that the Speaker assumes jurisdiction to pass a quasi-judicial order which is amenable to the writ jurisdiction of the High Court. It is in such proceedings that the question relating to the disqualification is to be considered and decided. Accordingly, restraining the Speaker from taking any decision under paragraph 6 of the Tenth Schedule is, in our view, beyond the jurisdiction of the High Court, since the Constitution itself has vested the Speaker with the power to take a decision under paragraph 6and care has also been taken to indicate that such decision of the Speaker would be final. It is only thereafter that the High Court assumes jurisdiction to examine the Speaker's order.</w:t>
      </w:r>
    </w:p>
    <w:p w:rsidR="00494987" w:rsidRDefault="00494987" w:rsidP="00494987">
      <w:pPr>
        <w:spacing w:before="100" w:beforeAutospacing="1" w:after="100" w:afterAutospacing="1" w:line="240" w:lineRule="auto"/>
        <w:rPr>
          <w:rFonts w:asciiTheme="majorHAnsi" w:eastAsia="Times New Roman" w:hAnsiTheme="majorHAnsi" w:cs="Arial"/>
          <w:sz w:val="20"/>
          <w:szCs w:val="20"/>
        </w:rPr>
      </w:pPr>
      <w:r>
        <w:rPr>
          <w:rFonts w:asciiTheme="majorHAnsi" w:eastAsia="Times New Roman" w:hAnsiTheme="majorHAnsi" w:cs="Arial"/>
          <w:sz w:val="20"/>
          <w:szCs w:val="20"/>
        </w:rPr>
        <w:t xml:space="preserve">Further, </w:t>
      </w:r>
      <w:r w:rsidRPr="009D2B38">
        <w:rPr>
          <w:rFonts w:asciiTheme="majorHAnsi" w:eastAsia="Times New Roman" w:hAnsiTheme="majorHAnsi" w:cs="Arial"/>
          <w:sz w:val="20"/>
          <w:szCs w:val="20"/>
        </w:rPr>
        <w:t>Order 41 Rule 33 vests the Appellate Court with powers to pass any decree and make any order which ought to have been passed or made and to pass or make such further or other decree or the order, as the case may require. The said power is vested in the Appellate Court by the statute itself, but the principles thereof cannot be brought into play in a matter involving a decision under the constitutional provisions of the Tenth Schedule to the Constitution, and in particular paragraph 6 thereof.</w:t>
      </w:r>
    </w:p>
    <w:p w:rsidR="00494987" w:rsidRPr="000D0EA7" w:rsidRDefault="00494987" w:rsidP="00494987">
      <w:pPr>
        <w:spacing w:before="100" w:beforeAutospacing="1" w:after="100" w:afterAutospacing="1" w:line="240" w:lineRule="auto"/>
        <w:rPr>
          <w:rFonts w:asciiTheme="majorHAnsi" w:eastAsia="Times New Roman" w:hAnsiTheme="majorHAnsi" w:cs="Arial"/>
          <w:b/>
          <w:sz w:val="20"/>
          <w:szCs w:val="20"/>
        </w:rPr>
      </w:pPr>
      <w:r w:rsidRPr="000D0EA7">
        <w:rPr>
          <w:rFonts w:asciiTheme="majorHAnsi" w:eastAsia="Times New Roman" w:hAnsiTheme="majorHAnsi" w:cs="Arial"/>
          <w:b/>
          <w:sz w:val="20"/>
          <w:szCs w:val="20"/>
        </w:rPr>
        <w:t>DECISION:</w:t>
      </w:r>
    </w:p>
    <w:p w:rsidR="00494987" w:rsidRPr="009D2B38" w:rsidRDefault="00494987" w:rsidP="00494987">
      <w:pPr>
        <w:spacing w:before="100" w:beforeAutospacing="1" w:after="100" w:afterAutospacing="1" w:line="240" w:lineRule="auto"/>
        <w:rPr>
          <w:rFonts w:asciiTheme="majorHAnsi" w:eastAsia="Times New Roman" w:hAnsiTheme="majorHAnsi" w:cs="Arial"/>
          <w:sz w:val="20"/>
          <w:szCs w:val="20"/>
        </w:rPr>
      </w:pPr>
      <w:r w:rsidRPr="009D2B38">
        <w:rPr>
          <w:rFonts w:asciiTheme="majorHAnsi" w:eastAsia="Times New Roman" w:hAnsiTheme="majorHAnsi" w:cs="Arial"/>
          <w:sz w:val="20"/>
          <w:szCs w:val="20"/>
        </w:rPr>
        <w:t xml:space="preserve">The appeal filed by the Speaker, Haryana </w:t>
      </w:r>
      <w:proofErr w:type="spellStart"/>
      <w:r w:rsidRPr="009D2B38">
        <w:rPr>
          <w:rFonts w:asciiTheme="majorHAnsi" w:eastAsia="Times New Roman" w:hAnsiTheme="majorHAnsi" w:cs="Arial"/>
          <w:sz w:val="20"/>
          <w:szCs w:val="20"/>
        </w:rPr>
        <w:t>Vidhan</w:t>
      </w:r>
      <w:proofErr w:type="spellEnd"/>
      <w:r w:rsidRPr="009D2B38">
        <w:rPr>
          <w:rFonts w:asciiTheme="majorHAnsi" w:eastAsia="Times New Roman" w:hAnsiTheme="majorHAnsi" w:cs="Arial"/>
          <w:sz w:val="20"/>
          <w:szCs w:val="20"/>
        </w:rPr>
        <w:t xml:space="preserve"> </w:t>
      </w:r>
      <w:proofErr w:type="spellStart"/>
      <w:r w:rsidRPr="009D2B38">
        <w:rPr>
          <w:rFonts w:asciiTheme="majorHAnsi" w:eastAsia="Times New Roman" w:hAnsiTheme="majorHAnsi" w:cs="Arial"/>
          <w:sz w:val="20"/>
          <w:szCs w:val="20"/>
        </w:rPr>
        <w:t>Sabha</w:t>
      </w:r>
      <w:proofErr w:type="spellEnd"/>
      <w:r w:rsidRPr="009D2B38">
        <w:rPr>
          <w:rFonts w:asciiTheme="majorHAnsi" w:eastAsia="Times New Roman" w:hAnsiTheme="majorHAnsi" w:cs="Arial"/>
          <w:sz w:val="20"/>
          <w:szCs w:val="20"/>
        </w:rPr>
        <w:t xml:space="preserve">, against the judgment of the Division Bench of the High Court, is </w:t>
      </w:r>
      <w:proofErr w:type="gramStart"/>
      <w:r w:rsidRPr="009D2B38">
        <w:rPr>
          <w:rFonts w:asciiTheme="majorHAnsi" w:eastAsia="Times New Roman" w:hAnsiTheme="majorHAnsi" w:cs="Arial"/>
          <w:sz w:val="20"/>
          <w:szCs w:val="20"/>
        </w:rPr>
        <w:t>not,</w:t>
      </w:r>
      <w:proofErr w:type="gramEnd"/>
      <w:r w:rsidRPr="009D2B38">
        <w:rPr>
          <w:rFonts w:asciiTheme="majorHAnsi" w:eastAsia="Times New Roman" w:hAnsiTheme="majorHAnsi" w:cs="Arial"/>
          <w:sz w:val="20"/>
          <w:szCs w:val="20"/>
        </w:rPr>
        <w:t xml:space="preserve"> therefore, capable of being sustained and the Appeal filed by the Speaker is accordingly dismissed. The other Appeals preferred by the five disqualified MLAs have, therefore, to be allowed to the extent of the directions given by the learned Single Judge and endorsed by the Division Bench that the five MLAs would stand disqualified from effectively functioning as Members of the Haryana </w:t>
      </w:r>
      <w:proofErr w:type="spellStart"/>
      <w:r w:rsidRPr="009D2B38">
        <w:rPr>
          <w:rFonts w:asciiTheme="majorHAnsi" w:eastAsia="Times New Roman" w:hAnsiTheme="majorHAnsi" w:cs="Arial"/>
          <w:sz w:val="20"/>
          <w:szCs w:val="20"/>
        </w:rPr>
        <w:t>Vidhan</w:t>
      </w:r>
      <w:proofErr w:type="spellEnd"/>
      <w:r w:rsidRPr="009D2B38">
        <w:rPr>
          <w:rFonts w:asciiTheme="majorHAnsi" w:eastAsia="Times New Roman" w:hAnsiTheme="majorHAnsi" w:cs="Arial"/>
          <w:sz w:val="20"/>
          <w:szCs w:val="20"/>
        </w:rPr>
        <w:t xml:space="preserve"> </w:t>
      </w:r>
      <w:proofErr w:type="spellStart"/>
      <w:r w:rsidRPr="009D2B38">
        <w:rPr>
          <w:rFonts w:asciiTheme="majorHAnsi" w:eastAsia="Times New Roman" w:hAnsiTheme="majorHAnsi" w:cs="Arial"/>
          <w:sz w:val="20"/>
          <w:szCs w:val="20"/>
        </w:rPr>
        <w:t>Sabha</w:t>
      </w:r>
      <w:proofErr w:type="spellEnd"/>
      <w:r w:rsidRPr="009D2B38">
        <w:rPr>
          <w:rFonts w:asciiTheme="majorHAnsi" w:eastAsia="Times New Roman" w:hAnsiTheme="majorHAnsi" w:cs="Arial"/>
          <w:sz w:val="20"/>
          <w:szCs w:val="20"/>
        </w:rPr>
        <w:t xml:space="preserve"> till the Speaker decided the petitions regarding their disqualification, within a period of </w:t>
      </w:r>
      <w:proofErr w:type="spellStart"/>
      <w:r w:rsidRPr="009D2B38">
        <w:rPr>
          <w:rFonts w:asciiTheme="majorHAnsi" w:eastAsia="Times New Roman" w:hAnsiTheme="majorHAnsi" w:cs="Arial"/>
          <w:sz w:val="20"/>
          <w:szCs w:val="20"/>
        </w:rPr>
        <w:t>fourmonths</w:t>
      </w:r>
      <w:proofErr w:type="spellEnd"/>
      <w:r w:rsidRPr="009D2B38">
        <w:rPr>
          <w:rFonts w:asciiTheme="majorHAnsi" w:eastAsia="Times New Roman" w:hAnsiTheme="majorHAnsi" w:cs="Arial"/>
          <w:sz w:val="20"/>
          <w:szCs w:val="20"/>
        </w:rPr>
        <w:t>.</w:t>
      </w:r>
      <w:r>
        <w:rPr>
          <w:rFonts w:asciiTheme="majorHAnsi" w:eastAsia="Times New Roman" w:hAnsiTheme="majorHAnsi" w:cs="Arial"/>
          <w:sz w:val="20"/>
          <w:szCs w:val="20"/>
        </w:rPr>
        <w:t xml:space="preserve"> </w:t>
      </w:r>
      <w:r w:rsidRPr="009D2B38">
        <w:rPr>
          <w:rFonts w:asciiTheme="majorHAnsi" w:eastAsia="Times New Roman" w:hAnsiTheme="majorHAnsi" w:cs="Arial"/>
          <w:sz w:val="20"/>
          <w:szCs w:val="20"/>
        </w:rPr>
        <w:t>The Speaker shall dispose of the pending applications for disqualification of the five MLAs in question within a period of three months from the date of communication of this order.</w:t>
      </w:r>
    </w:p>
    <w:p w:rsidR="00494987" w:rsidRPr="000D0EA7" w:rsidRDefault="00494987" w:rsidP="00494987">
      <w:pPr>
        <w:spacing w:before="100" w:beforeAutospacing="1" w:after="100" w:afterAutospacing="1" w:line="240" w:lineRule="auto"/>
        <w:rPr>
          <w:rFonts w:asciiTheme="majorHAnsi" w:eastAsia="Times New Roman" w:hAnsiTheme="majorHAnsi" w:cs="Arial"/>
          <w:b/>
          <w:sz w:val="20"/>
          <w:szCs w:val="20"/>
        </w:rPr>
      </w:pPr>
      <w:r w:rsidRPr="000D0EA7">
        <w:rPr>
          <w:rFonts w:asciiTheme="majorHAnsi" w:eastAsia="Times New Roman" w:hAnsiTheme="majorHAnsi" w:cs="Arial"/>
          <w:b/>
          <w:sz w:val="20"/>
          <w:szCs w:val="20"/>
        </w:rPr>
        <w:t>SUMMARY OF THE CASE:</w:t>
      </w:r>
    </w:p>
    <w:p w:rsidR="00494987" w:rsidRDefault="00494987" w:rsidP="00494987">
      <w:pPr>
        <w:spacing w:before="100" w:beforeAutospacing="1" w:after="100" w:afterAutospacing="1" w:line="240" w:lineRule="auto"/>
        <w:rPr>
          <w:rFonts w:asciiTheme="majorHAnsi" w:eastAsia="Times New Roman" w:hAnsiTheme="majorHAnsi" w:cs="Arial"/>
          <w:sz w:val="20"/>
          <w:szCs w:val="20"/>
        </w:rPr>
      </w:pPr>
      <w:proofErr w:type="gramStart"/>
      <w:r w:rsidRPr="000D0EA7">
        <w:rPr>
          <w:rFonts w:asciiTheme="majorHAnsi" w:eastAsia="Times New Roman" w:hAnsiTheme="majorHAnsi" w:cs="Arial"/>
          <w:sz w:val="20"/>
          <w:szCs w:val="20"/>
        </w:rPr>
        <w:t>the</w:t>
      </w:r>
      <w:proofErr w:type="gramEnd"/>
      <w:r w:rsidRPr="000D0EA7">
        <w:rPr>
          <w:rFonts w:asciiTheme="majorHAnsi" w:eastAsia="Times New Roman" w:hAnsiTheme="majorHAnsi" w:cs="Arial"/>
          <w:sz w:val="20"/>
          <w:szCs w:val="20"/>
        </w:rPr>
        <w:t xml:space="preserve"> High Court had no jurisdiction to pass such an order, which was in the domain of the Speaker. The High Court assumed the jurisdiction which it never had in making the interim order which had the effect of preventing the five MLAs in question from effectively functioning as Members of the Haryana </w:t>
      </w:r>
      <w:proofErr w:type="spellStart"/>
      <w:r w:rsidRPr="000D0EA7">
        <w:rPr>
          <w:rFonts w:asciiTheme="majorHAnsi" w:eastAsia="Times New Roman" w:hAnsiTheme="majorHAnsi" w:cs="Arial"/>
          <w:sz w:val="20"/>
          <w:szCs w:val="20"/>
        </w:rPr>
        <w:t>Vidhan</w:t>
      </w:r>
      <w:proofErr w:type="spellEnd"/>
      <w:r w:rsidRPr="000D0EA7">
        <w:rPr>
          <w:rFonts w:asciiTheme="majorHAnsi" w:eastAsia="Times New Roman" w:hAnsiTheme="majorHAnsi" w:cs="Arial"/>
          <w:sz w:val="20"/>
          <w:szCs w:val="20"/>
        </w:rPr>
        <w:t xml:space="preserve"> </w:t>
      </w:r>
      <w:proofErr w:type="spellStart"/>
      <w:r w:rsidRPr="000D0EA7">
        <w:rPr>
          <w:rFonts w:asciiTheme="majorHAnsi" w:eastAsia="Times New Roman" w:hAnsiTheme="majorHAnsi" w:cs="Arial"/>
          <w:sz w:val="20"/>
          <w:szCs w:val="20"/>
        </w:rPr>
        <w:t>Sabha</w:t>
      </w:r>
      <w:proofErr w:type="spellEnd"/>
      <w:r w:rsidRPr="000D0EA7">
        <w:rPr>
          <w:rFonts w:asciiTheme="majorHAnsi" w:eastAsia="Times New Roman" w:hAnsiTheme="majorHAnsi" w:cs="Arial"/>
          <w:sz w:val="20"/>
          <w:szCs w:val="20"/>
        </w:rPr>
        <w:t xml:space="preserve">. The direction given by the learned Single Judge to the Speaker, as endorsed by the Division Bench, is, therefore, upheld to the extent that it directs the Speaker to decide the petitions for disqualification of the five MLAs within a period of four months. The said direction shall, therefore, be given effect to by Speaker. The </w:t>
      </w:r>
      <w:r w:rsidRPr="000D0EA7">
        <w:rPr>
          <w:rFonts w:asciiTheme="majorHAnsi" w:eastAsia="Times New Roman" w:hAnsiTheme="majorHAnsi" w:cs="Arial"/>
          <w:sz w:val="20"/>
          <w:szCs w:val="20"/>
        </w:rPr>
        <w:lastRenderedPageBreak/>
        <w:t xml:space="preserve">remaining portion of the order disqualifying the five MLAs from effectively functioning as Members of the Haryana </w:t>
      </w:r>
      <w:proofErr w:type="spellStart"/>
      <w:r w:rsidRPr="000D0EA7">
        <w:rPr>
          <w:rFonts w:asciiTheme="majorHAnsi" w:eastAsia="Times New Roman" w:hAnsiTheme="majorHAnsi" w:cs="Arial"/>
          <w:sz w:val="20"/>
          <w:szCs w:val="20"/>
        </w:rPr>
        <w:t>Vidhan</w:t>
      </w:r>
      <w:proofErr w:type="spellEnd"/>
      <w:r w:rsidRPr="000D0EA7">
        <w:rPr>
          <w:rFonts w:asciiTheme="majorHAnsi" w:eastAsia="Times New Roman" w:hAnsiTheme="majorHAnsi" w:cs="Arial"/>
          <w:sz w:val="20"/>
          <w:szCs w:val="20"/>
        </w:rPr>
        <w:t xml:space="preserve"> </w:t>
      </w:r>
      <w:proofErr w:type="spellStart"/>
      <w:r w:rsidRPr="000D0EA7">
        <w:rPr>
          <w:rFonts w:asciiTheme="majorHAnsi" w:eastAsia="Times New Roman" w:hAnsiTheme="majorHAnsi" w:cs="Arial"/>
          <w:sz w:val="20"/>
          <w:szCs w:val="20"/>
        </w:rPr>
        <w:t>Sabha</w:t>
      </w:r>
      <w:proofErr w:type="spellEnd"/>
      <w:r w:rsidRPr="000D0EA7">
        <w:rPr>
          <w:rFonts w:asciiTheme="majorHAnsi" w:eastAsia="Times New Roman" w:hAnsiTheme="majorHAnsi" w:cs="Arial"/>
          <w:sz w:val="20"/>
          <w:szCs w:val="20"/>
        </w:rPr>
        <w:t xml:space="preserve"> is </w:t>
      </w:r>
      <w:proofErr w:type="spellStart"/>
      <w:r w:rsidRPr="000D0EA7">
        <w:rPr>
          <w:rFonts w:asciiTheme="majorHAnsi" w:eastAsia="Times New Roman" w:hAnsiTheme="majorHAnsi" w:cs="Arial"/>
          <w:sz w:val="20"/>
          <w:szCs w:val="20"/>
        </w:rPr>
        <w:t>setaside</w:t>
      </w:r>
      <w:proofErr w:type="spellEnd"/>
      <w:r w:rsidRPr="000D0EA7">
        <w:rPr>
          <w:rFonts w:asciiTheme="majorHAnsi" w:eastAsia="Times New Roman" w:hAnsiTheme="majorHAnsi" w:cs="Arial"/>
          <w:sz w:val="20"/>
          <w:szCs w:val="20"/>
        </w:rPr>
        <w:t xml:space="preserve">. The said five MLAs would, therefore, be entitled to fully function as Members of the Haryana </w:t>
      </w:r>
      <w:proofErr w:type="spellStart"/>
      <w:r w:rsidRPr="000D0EA7">
        <w:rPr>
          <w:rFonts w:asciiTheme="majorHAnsi" w:eastAsia="Times New Roman" w:hAnsiTheme="majorHAnsi" w:cs="Arial"/>
          <w:sz w:val="20"/>
          <w:szCs w:val="20"/>
        </w:rPr>
        <w:t>Vidhan</w:t>
      </w:r>
      <w:proofErr w:type="spellEnd"/>
      <w:r w:rsidRPr="000D0EA7">
        <w:rPr>
          <w:rFonts w:asciiTheme="majorHAnsi" w:eastAsia="Times New Roman" w:hAnsiTheme="majorHAnsi" w:cs="Arial"/>
          <w:sz w:val="20"/>
          <w:szCs w:val="20"/>
        </w:rPr>
        <w:t xml:space="preserve"> </w:t>
      </w:r>
      <w:proofErr w:type="spellStart"/>
      <w:r w:rsidRPr="000D0EA7">
        <w:rPr>
          <w:rFonts w:asciiTheme="majorHAnsi" w:eastAsia="Times New Roman" w:hAnsiTheme="majorHAnsi" w:cs="Arial"/>
          <w:sz w:val="20"/>
          <w:szCs w:val="20"/>
        </w:rPr>
        <w:t>Sabha</w:t>
      </w:r>
      <w:proofErr w:type="spellEnd"/>
      <w:r w:rsidRPr="000D0EA7">
        <w:rPr>
          <w:rFonts w:asciiTheme="majorHAnsi" w:eastAsia="Times New Roman" w:hAnsiTheme="majorHAnsi" w:cs="Arial"/>
          <w:sz w:val="20"/>
          <w:szCs w:val="20"/>
        </w:rPr>
        <w:t xml:space="preserve"> without any restrictions, subject to the final decision that may be rendered by the Speaker in the disqualification petitions filed under paragraph 6 of the Tenth Schedule to the Constitution.</w:t>
      </w:r>
    </w:p>
    <w:p w:rsidR="001D23C6" w:rsidRDefault="001D23C6"/>
    <w:sectPr w:rsidR="001D23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94987"/>
    <w:rsid w:val="001D23C6"/>
    <w:rsid w:val="004949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2501</Words>
  <Characters>14258</Characters>
  <Application>Microsoft Office Word</Application>
  <DocSecurity>0</DocSecurity>
  <Lines>118</Lines>
  <Paragraphs>33</Paragraphs>
  <ScaleCrop>false</ScaleCrop>
  <Company/>
  <LinksUpToDate>false</LinksUpToDate>
  <CharactersWithSpaces>16726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2013-06-20T10:22:00Z</dcterms:created>
  <dcterms:modified xsi:type="dcterms:W3CDTF">2013-06-20T10:30:00Z</dcterms:modified>
</cp:coreProperties>
</file>