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119D" w:rsidRPr="008678CB" w:rsidRDefault="0036119D" w:rsidP="0036119D">
      <w:pPr>
        <w:jc w:val="center"/>
        <w:rPr>
          <w:rFonts w:asciiTheme="majorHAnsi" w:hAnsiTheme="majorHAnsi"/>
        </w:rPr>
      </w:pPr>
      <w:r>
        <w:rPr>
          <w:rFonts w:asciiTheme="majorHAnsi" w:hAnsiTheme="majorHAnsi"/>
        </w:rPr>
        <w:t>Supreme Court of India</w:t>
      </w:r>
    </w:p>
    <w:p w:rsidR="0036119D" w:rsidRDefault="0036119D" w:rsidP="0036119D">
      <w:pPr>
        <w:pStyle w:val="NormalWeb"/>
      </w:pPr>
      <w:r>
        <w:rPr>
          <w:rFonts w:ascii="Arial" w:hAnsi="Arial" w:cs="Arial"/>
          <w:b/>
          <w:bCs/>
          <w:sz w:val="18"/>
          <w:szCs w:val="18"/>
        </w:rPr>
        <w:t xml:space="preserve">Extra Judicial Execution Victim Families Association (EEVFAM) and another </w:t>
      </w:r>
      <w:proofErr w:type="gramStart"/>
      <w:r>
        <w:rPr>
          <w:rFonts w:ascii="Arial" w:hAnsi="Arial" w:cs="Arial"/>
          <w:b/>
          <w:bCs/>
          <w:sz w:val="18"/>
          <w:szCs w:val="18"/>
        </w:rPr>
        <w:t>Vs</w:t>
      </w:r>
      <w:proofErr w:type="gramEnd"/>
      <w:r>
        <w:rPr>
          <w:rFonts w:ascii="Arial" w:hAnsi="Arial" w:cs="Arial"/>
          <w:b/>
          <w:bCs/>
          <w:sz w:val="18"/>
          <w:szCs w:val="18"/>
        </w:rPr>
        <w:t>. Union of India &amp; another</w:t>
      </w:r>
    </w:p>
    <w:p w:rsidR="0036119D" w:rsidRDefault="0036119D" w:rsidP="0036119D">
      <w:pPr>
        <w:pStyle w:val="NormalWeb"/>
      </w:pPr>
      <w:r>
        <w:rPr>
          <w:rFonts w:ascii="Arial" w:hAnsi="Arial" w:cs="Arial"/>
          <w:b/>
          <w:bCs/>
          <w:sz w:val="18"/>
          <w:szCs w:val="18"/>
        </w:rPr>
        <w:t xml:space="preserve">                                                                  [Criminal No.129 of 2012]</w:t>
      </w:r>
    </w:p>
    <w:p w:rsidR="0036119D" w:rsidRDefault="0036119D" w:rsidP="0036119D">
      <w:pPr>
        <w:pStyle w:val="NormalWeb"/>
      </w:pPr>
      <w:r>
        <w:rPr>
          <w:rFonts w:ascii="Arial" w:hAnsi="Arial" w:cs="Arial"/>
          <w:b/>
          <w:bCs/>
          <w:sz w:val="18"/>
          <w:szCs w:val="18"/>
        </w:rPr>
        <w:t xml:space="preserve">                                                       Suresh Singh </w:t>
      </w:r>
      <w:proofErr w:type="gramStart"/>
      <w:r>
        <w:rPr>
          <w:rFonts w:ascii="Arial" w:hAnsi="Arial" w:cs="Arial"/>
          <w:b/>
          <w:bCs/>
          <w:sz w:val="18"/>
          <w:szCs w:val="18"/>
        </w:rPr>
        <w:t>Vs</w:t>
      </w:r>
      <w:proofErr w:type="gramEnd"/>
      <w:r>
        <w:rPr>
          <w:rFonts w:ascii="Arial" w:hAnsi="Arial" w:cs="Arial"/>
          <w:b/>
          <w:bCs/>
          <w:sz w:val="18"/>
          <w:szCs w:val="18"/>
        </w:rPr>
        <w:t xml:space="preserve">. Union of India &amp; Another </w:t>
      </w:r>
    </w:p>
    <w:p w:rsidR="0036119D" w:rsidRDefault="0036119D" w:rsidP="0036119D">
      <w:pPr>
        <w:pStyle w:val="NormalWeb"/>
        <w:rPr>
          <w:rFonts w:ascii="Arial" w:hAnsi="Arial" w:cs="Arial"/>
          <w:b/>
          <w:bCs/>
          <w:sz w:val="18"/>
          <w:szCs w:val="18"/>
        </w:rPr>
      </w:pPr>
      <w:r>
        <w:rPr>
          <w:rFonts w:ascii="Arial" w:hAnsi="Arial" w:cs="Arial"/>
          <w:b/>
          <w:bCs/>
          <w:sz w:val="18"/>
          <w:szCs w:val="18"/>
        </w:rPr>
        <w:t xml:space="preserve">                                                                       [Civil No.445 of 2012]</w:t>
      </w:r>
    </w:p>
    <w:p w:rsidR="0036119D" w:rsidRDefault="0036119D" w:rsidP="0036119D">
      <w:pPr>
        <w:pStyle w:val="NormalWeb"/>
        <w:rPr>
          <w:rFonts w:ascii="Arial" w:hAnsi="Arial" w:cs="Arial"/>
          <w:b/>
          <w:bCs/>
          <w:sz w:val="18"/>
          <w:szCs w:val="18"/>
        </w:rPr>
      </w:pPr>
      <w:r>
        <w:rPr>
          <w:rFonts w:ascii="Arial" w:hAnsi="Arial" w:cs="Arial"/>
          <w:b/>
          <w:bCs/>
          <w:sz w:val="18"/>
          <w:szCs w:val="18"/>
        </w:rPr>
        <w:t xml:space="preserve">                                                                 Decided on </w:t>
      </w:r>
      <w:r w:rsidRPr="00CE2522">
        <w:rPr>
          <w:rFonts w:ascii="Arial" w:hAnsi="Arial" w:cs="Arial"/>
          <w:b/>
          <w:bCs/>
          <w:sz w:val="18"/>
          <w:szCs w:val="18"/>
        </w:rPr>
        <w:t>January 4, 2013</w:t>
      </w:r>
    </w:p>
    <w:p w:rsidR="0036119D" w:rsidRPr="00CE2522" w:rsidRDefault="0036119D" w:rsidP="0036119D">
      <w:pPr>
        <w:pStyle w:val="NormalWeb"/>
        <w:rPr>
          <w:rFonts w:ascii="Arial" w:hAnsi="Arial" w:cs="Arial"/>
          <w:b/>
          <w:bCs/>
          <w:sz w:val="18"/>
          <w:szCs w:val="18"/>
        </w:rPr>
      </w:pPr>
      <w:r>
        <w:rPr>
          <w:rFonts w:ascii="Arial" w:hAnsi="Arial" w:cs="Arial"/>
          <w:b/>
          <w:bCs/>
          <w:sz w:val="18"/>
          <w:szCs w:val="18"/>
        </w:rPr>
        <w:t xml:space="preserve">                                             Decided by </w:t>
      </w:r>
      <w:r w:rsidRPr="00CE2522">
        <w:rPr>
          <w:rFonts w:ascii="Arial" w:hAnsi="Arial" w:cs="Arial"/>
          <w:b/>
          <w:bCs/>
          <w:sz w:val="18"/>
          <w:szCs w:val="18"/>
        </w:rPr>
        <w:t>J. (</w:t>
      </w:r>
      <w:proofErr w:type="spellStart"/>
      <w:r w:rsidRPr="00CE2522">
        <w:rPr>
          <w:rFonts w:ascii="Arial" w:hAnsi="Arial" w:cs="Arial"/>
          <w:b/>
          <w:bCs/>
          <w:sz w:val="18"/>
          <w:szCs w:val="18"/>
        </w:rPr>
        <w:t>Aftab</w:t>
      </w:r>
      <w:proofErr w:type="spellEnd"/>
      <w:r w:rsidRPr="00CE2522">
        <w:rPr>
          <w:rFonts w:ascii="Arial" w:hAnsi="Arial" w:cs="Arial"/>
          <w:b/>
          <w:bCs/>
          <w:sz w:val="18"/>
          <w:szCs w:val="18"/>
        </w:rPr>
        <w:t xml:space="preserve"> </w:t>
      </w:r>
      <w:proofErr w:type="spellStart"/>
      <w:r w:rsidRPr="00CE2522">
        <w:rPr>
          <w:rFonts w:ascii="Arial" w:hAnsi="Arial" w:cs="Arial"/>
          <w:b/>
          <w:bCs/>
          <w:sz w:val="18"/>
          <w:szCs w:val="18"/>
        </w:rPr>
        <w:t>Alam</w:t>
      </w:r>
      <w:proofErr w:type="spellEnd"/>
      <w:r w:rsidRPr="00CE2522">
        <w:rPr>
          <w:rFonts w:ascii="Arial" w:hAnsi="Arial" w:cs="Arial"/>
          <w:b/>
          <w:bCs/>
          <w:sz w:val="18"/>
          <w:szCs w:val="18"/>
        </w:rPr>
        <w:t>)</w:t>
      </w:r>
      <w:r>
        <w:rPr>
          <w:rFonts w:ascii="Arial" w:hAnsi="Arial" w:cs="Arial"/>
          <w:b/>
          <w:bCs/>
          <w:sz w:val="18"/>
          <w:szCs w:val="18"/>
        </w:rPr>
        <w:t xml:space="preserve"> &amp; </w:t>
      </w:r>
      <w:r w:rsidRPr="00CE2522">
        <w:rPr>
          <w:rFonts w:ascii="Arial" w:hAnsi="Arial" w:cs="Arial"/>
          <w:b/>
          <w:bCs/>
          <w:sz w:val="18"/>
          <w:szCs w:val="18"/>
        </w:rPr>
        <w:t>J. (</w:t>
      </w:r>
      <w:proofErr w:type="spellStart"/>
      <w:r w:rsidRPr="00CE2522">
        <w:rPr>
          <w:rFonts w:ascii="Arial" w:hAnsi="Arial" w:cs="Arial"/>
          <w:b/>
          <w:bCs/>
          <w:sz w:val="18"/>
          <w:szCs w:val="18"/>
        </w:rPr>
        <w:t>Ranjana</w:t>
      </w:r>
      <w:proofErr w:type="spellEnd"/>
      <w:r w:rsidRPr="00CE2522">
        <w:rPr>
          <w:rFonts w:ascii="Arial" w:hAnsi="Arial" w:cs="Arial"/>
          <w:b/>
          <w:bCs/>
          <w:sz w:val="18"/>
          <w:szCs w:val="18"/>
        </w:rPr>
        <w:t xml:space="preserve"> </w:t>
      </w:r>
      <w:proofErr w:type="spellStart"/>
      <w:r w:rsidRPr="00CE2522">
        <w:rPr>
          <w:rFonts w:ascii="Arial" w:hAnsi="Arial" w:cs="Arial"/>
          <w:b/>
          <w:bCs/>
          <w:sz w:val="18"/>
          <w:szCs w:val="18"/>
        </w:rPr>
        <w:t>Prakash</w:t>
      </w:r>
      <w:proofErr w:type="spellEnd"/>
      <w:r w:rsidRPr="00CE2522">
        <w:rPr>
          <w:rFonts w:ascii="Arial" w:hAnsi="Arial" w:cs="Arial"/>
          <w:b/>
          <w:bCs/>
          <w:sz w:val="18"/>
          <w:szCs w:val="18"/>
        </w:rPr>
        <w:t xml:space="preserve"> Desai)</w:t>
      </w:r>
    </w:p>
    <w:p w:rsidR="0036119D" w:rsidRDefault="0036119D" w:rsidP="0036119D">
      <w:pPr>
        <w:pStyle w:val="NormalWeb"/>
        <w:jc w:val="center"/>
      </w:pPr>
      <w:r>
        <w:rPr>
          <w:rFonts w:ascii="Arial" w:hAnsi="Arial" w:cs="Arial"/>
          <w:b/>
          <w:bCs/>
          <w:sz w:val="18"/>
          <w:szCs w:val="18"/>
        </w:rPr>
        <w:t>Topic: Indian Citizens killed by Manipur Police and other security forces, while in custody or in encounters thus they violated Article 32 of Constitution, Armed forces (Special Power) Act, 1958</w:t>
      </w:r>
    </w:p>
    <w:p w:rsidR="0036119D" w:rsidRPr="00CE2522" w:rsidRDefault="0036119D" w:rsidP="0036119D">
      <w:pPr>
        <w:pStyle w:val="NormalWeb"/>
        <w:rPr>
          <w:u w:val="single"/>
        </w:rPr>
      </w:pPr>
      <w:r>
        <w:rPr>
          <w:rFonts w:ascii="Arial" w:hAnsi="Arial" w:cs="Arial"/>
          <w:b/>
          <w:bCs/>
          <w:sz w:val="18"/>
          <w:szCs w:val="18"/>
          <w:u w:val="single"/>
        </w:rPr>
        <w:t>FACTS</w:t>
      </w:r>
    </w:p>
    <w:p w:rsidR="0036119D" w:rsidRDefault="0036119D" w:rsidP="0036119D">
      <w:pPr>
        <w:pStyle w:val="NormalWeb"/>
        <w:rPr>
          <w:rFonts w:ascii="Arial" w:hAnsi="Arial" w:cs="Arial"/>
          <w:sz w:val="18"/>
          <w:szCs w:val="18"/>
        </w:rPr>
      </w:pPr>
      <w:r>
        <w:rPr>
          <w:rFonts w:ascii="Arial" w:hAnsi="Arial" w:cs="Arial"/>
          <w:sz w:val="18"/>
          <w:szCs w:val="18"/>
        </w:rPr>
        <w:t xml:space="preserve">These two writ petitions, each filed under Article 32 of the Constitution of India, raise some disquieting issues pertaining to the State of Manipur. In Criminal writ petition, it is stated that, over the years, a large number of people, Indian citizens, have been killed by the Manipur Police and other security forces while they were in custody or in stage-managed encounters or in ways broadly termed as 'extra-judicial executions'. In Civil writ petition, it is stated that for a very long time, the State of Manipur is declared as "disturbed area" and is put under the Armed Forces (Special Powers) Act,1958, subverting the civil rights of the citizens of the State and making it possible for the security forces to kill innocent persons with impunity. </w:t>
      </w:r>
    </w:p>
    <w:p w:rsidR="0036119D" w:rsidRPr="00D33269" w:rsidRDefault="0036119D" w:rsidP="0036119D">
      <w:pPr>
        <w:pStyle w:val="NormalWeb"/>
        <w:rPr>
          <w:rFonts w:ascii="Arial" w:hAnsi="Arial" w:cs="Arial"/>
          <w:b/>
          <w:sz w:val="18"/>
          <w:szCs w:val="18"/>
          <w:u w:val="single"/>
        </w:rPr>
      </w:pPr>
      <w:r w:rsidRPr="00D33269">
        <w:rPr>
          <w:rFonts w:ascii="Arial" w:hAnsi="Arial" w:cs="Arial"/>
          <w:b/>
          <w:sz w:val="18"/>
          <w:szCs w:val="18"/>
          <w:u w:val="single"/>
        </w:rPr>
        <w:t>Contentions:</w:t>
      </w:r>
    </w:p>
    <w:p w:rsidR="0036119D" w:rsidRDefault="0036119D" w:rsidP="0036119D">
      <w:pPr>
        <w:pStyle w:val="NormalWeb"/>
      </w:pPr>
      <w:r>
        <w:rPr>
          <w:rFonts w:ascii="Arial" w:hAnsi="Arial" w:cs="Arial"/>
          <w:sz w:val="18"/>
          <w:szCs w:val="18"/>
        </w:rPr>
        <w:t>The State of Manipur has the primary duty to deal with the issue of investigation in relevant cases, except where provided to the contrary in any other law for the time being in force. It is stated that the "very gloomy picture" of the State of Manipur sought to be presented by the writ petitioners is incorrect and misleading. It is asserted that Manipur is fully and completely integrated with the rest of the country and it is pointed out that in the 1990 elections the voting turnout for the 60assembly seats in the State was 89.95%. Similarly, during the recent 2012assembly elections, the voting turnout was 83.24%. It is added that the voting percentage in Manipur is amongst the highest in the country as a whole and it clearly shows that the people of Manipur have taken active participation in the elections showing their full faith in the Constitution and the constitutional process.</w:t>
      </w:r>
      <w:r>
        <w:t xml:space="preserve"> </w:t>
      </w:r>
      <w:r>
        <w:rPr>
          <w:rFonts w:ascii="Arial" w:hAnsi="Arial" w:cs="Arial"/>
          <w:sz w:val="18"/>
          <w:szCs w:val="18"/>
        </w:rPr>
        <w:t xml:space="preserve">Ms. </w:t>
      </w:r>
      <w:proofErr w:type="spellStart"/>
      <w:r>
        <w:rPr>
          <w:rFonts w:ascii="Arial" w:hAnsi="Arial" w:cs="Arial"/>
          <w:sz w:val="18"/>
          <w:szCs w:val="18"/>
        </w:rPr>
        <w:t>Guruswamy</w:t>
      </w:r>
      <w:proofErr w:type="spellEnd"/>
      <w:r>
        <w:rPr>
          <w:rFonts w:ascii="Arial" w:hAnsi="Arial" w:cs="Arial"/>
          <w:sz w:val="18"/>
          <w:szCs w:val="18"/>
        </w:rPr>
        <w:t>, the learned amicus has, on the other hand, presented tables and charts showing the inconsistencies in the materials produced by the State of Manipur itself concerning the 10 cases highlighted in "Compilation 1" filed by the petitioners. She also submitted that though enquiries were purported to be held by an Executive Magistrate in the 10cases described in "Compilation 1", in none of those cases the kin of the victims came before the Magistrate to give their statements even though they were approaching the court, complaining that the victims were killed in fake encounters. She further pointed out that in some of the cases even the police/security forces personnel who were engaged in the killings did not turn up, despite summons issued by the Magistrate, to give their version of the occurrence and the Magistrate closed the enquiry, recording that there was nothing to indicate that the victims were killed unlawfully.</w:t>
      </w:r>
      <w:r>
        <w:t xml:space="preserve"> </w:t>
      </w:r>
      <w:r>
        <w:rPr>
          <w:rFonts w:ascii="Arial" w:hAnsi="Arial" w:cs="Arial"/>
          <w:sz w:val="18"/>
          <w:szCs w:val="18"/>
        </w:rPr>
        <w:t xml:space="preserve">In some cases the Magistrate, even while recording the finding that the case did not appear to be one of fake encounter made the concluding observation that it would be helpful to sensitize the police/armed forces in human rights. She submitted that the so-called enquiries held by the Magistrate were wholly unsatisfactory and no reliance could be placed on the findings recorded in those enquiries. Apart from the criticisms made by the amicus against the Magisterial enquiries held in the 10 cases of "Compilation 1" it is important to note that a number of cases cited by the petitioners had gone to the </w:t>
      </w:r>
      <w:proofErr w:type="spellStart"/>
      <w:r>
        <w:rPr>
          <w:rFonts w:ascii="Arial" w:hAnsi="Arial" w:cs="Arial"/>
          <w:sz w:val="18"/>
          <w:szCs w:val="18"/>
        </w:rPr>
        <w:t>Gauhati</w:t>
      </w:r>
      <w:proofErr w:type="spellEnd"/>
      <w:r>
        <w:rPr>
          <w:rFonts w:ascii="Arial" w:hAnsi="Arial" w:cs="Arial"/>
          <w:sz w:val="18"/>
          <w:szCs w:val="18"/>
        </w:rPr>
        <w:t xml:space="preserve"> High Court and on the direction of the High Court, inquires, of a judicial nature, were made into the killings of</w:t>
      </w:r>
      <w:r>
        <w:t xml:space="preserve"> </w:t>
      </w:r>
      <w:r>
        <w:rPr>
          <w:rFonts w:ascii="Arial" w:hAnsi="Arial" w:cs="Arial"/>
          <w:sz w:val="18"/>
          <w:szCs w:val="18"/>
        </w:rPr>
        <w:t>(1) Azad Khan, age 12 years(according to the State, 15 years) (from "Compilation 1"),</w:t>
      </w:r>
      <w:r>
        <w:t xml:space="preserve"> </w:t>
      </w:r>
      <w:r>
        <w:rPr>
          <w:rFonts w:ascii="Arial" w:hAnsi="Arial" w:cs="Arial"/>
          <w:sz w:val="18"/>
          <w:szCs w:val="18"/>
        </w:rPr>
        <w:t>(2)</w:t>
      </w:r>
      <w:proofErr w:type="spellStart"/>
      <w:r>
        <w:rPr>
          <w:rFonts w:ascii="Arial" w:hAnsi="Arial" w:cs="Arial"/>
          <w:sz w:val="18"/>
          <w:szCs w:val="18"/>
        </w:rPr>
        <w:t>Nongmaithem</w:t>
      </w:r>
      <w:proofErr w:type="spellEnd"/>
      <w:r>
        <w:rPr>
          <w:rFonts w:ascii="Arial" w:hAnsi="Arial" w:cs="Arial"/>
          <w:sz w:val="18"/>
          <w:szCs w:val="18"/>
        </w:rPr>
        <w:t xml:space="preserve"> Michael Singh, age 32 years,</w:t>
      </w:r>
      <w:r>
        <w:t xml:space="preserve"> </w:t>
      </w:r>
      <w:r>
        <w:rPr>
          <w:rFonts w:ascii="Arial" w:hAnsi="Arial" w:cs="Arial"/>
          <w:sz w:val="18"/>
          <w:szCs w:val="18"/>
        </w:rPr>
        <w:t xml:space="preserve">(3) </w:t>
      </w:r>
      <w:proofErr w:type="spellStart"/>
      <w:r>
        <w:rPr>
          <w:rFonts w:ascii="Arial" w:hAnsi="Arial" w:cs="Arial"/>
          <w:sz w:val="18"/>
          <w:szCs w:val="18"/>
        </w:rPr>
        <w:t>Ningombam</w:t>
      </w:r>
      <w:proofErr w:type="spellEnd"/>
      <w:r>
        <w:rPr>
          <w:rFonts w:ascii="Arial" w:hAnsi="Arial" w:cs="Arial"/>
          <w:sz w:val="18"/>
          <w:szCs w:val="18"/>
        </w:rPr>
        <w:t xml:space="preserve"> </w:t>
      </w:r>
      <w:proofErr w:type="spellStart"/>
      <w:r>
        <w:rPr>
          <w:rFonts w:ascii="Arial" w:hAnsi="Arial" w:cs="Arial"/>
          <w:sz w:val="18"/>
          <w:szCs w:val="18"/>
        </w:rPr>
        <w:t>Gopal</w:t>
      </w:r>
      <w:proofErr w:type="spellEnd"/>
      <w:r>
        <w:rPr>
          <w:rFonts w:ascii="Arial" w:hAnsi="Arial" w:cs="Arial"/>
          <w:sz w:val="18"/>
          <w:szCs w:val="18"/>
        </w:rPr>
        <w:t xml:space="preserve"> Singh, age 39 years, and others.</w:t>
      </w:r>
      <w:r>
        <w:t xml:space="preserve"> </w:t>
      </w:r>
      <w:r>
        <w:rPr>
          <w:rFonts w:ascii="Arial" w:hAnsi="Arial" w:cs="Arial"/>
          <w:sz w:val="18"/>
          <w:szCs w:val="18"/>
        </w:rPr>
        <w:t xml:space="preserve">In all those cases the judicial inquiry found that the victims were not members of any insurgent or unlawful groups and they were killed by the police or security forces in cold blood and stage-managed encounters. It is stated on behalf of the petitioners that though it was established in the judicial enquiry that those persons were victims of extra-judicial executions, the High Court simply directed for payment of monetary compensation to the </w:t>
      </w:r>
      <w:proofErr w:type="spellStart"/>
      <w:r>
        <w:rPr>
          <w:rFonts w:ascii="Arial" w:hAnsi="Arial" w:cs="Arial"/>
          <w:sz w:val="18"/>
          <w:szCs w:val="18"/>
        </w:rPr>
        <w:t>kins</w:t>
      </w:r>
      <w:proofErr w:type="spellEnd"/>
      <w:r>
        <w:rPr>
          <w:rFonts w:ascii="Arial" w:hAnsi="Arial" w:cs="Arial"/>
          <w:sz w:val="18"/>
          <w:szCs w:val="18"/>
        </w:rPr>
        <w:t xml:space="preserve"> of the victims. Learned Counsel for the petitioners submitted that payment of rupees two to four </w:t>
      </w:r>
      <w:proofErr w:type="spellStart"/>
      <w:r>
        <w:rPr>
          <w:rFonts w:ascii="Arial" w:hAnsi="Arial" w:cs="Arial"/>
          <w:sz w:val="18"/>
          <w:szCs w:val="18"/>
        </w:rPr>
        <w:t>lakhs</w:t>
      </w:r>
      <w:proofErr w:type="spellEnd"/>
      <w:r>
        <w:rPr>
          <w:rFonts w:ascii="Arial" w:hAnsi="Arial" w:cs="Arial"/>
          <w:sz w:val="18"/>
          <w:szCs w:val="18"/>
        </w:rPr>
        <w:t xml:space="preserve"> for killing a person from funds that are not subjected to any audit, </w:t>
      </w:r>
      <w:r>
        <w:rPr>
          <w:rFonts w:ascii="Arial" w:hAnsi="Arial" w:cs="Arial"/>
          <w:sz w:val="18"/>
          <w:szCs w:val="18"/>
        </w:rPr>
        <w:lastRenderedPageBreak/>
        <w:t>instead of any accountability for cold blooded murder, perfectly suits the security forces and they only get encouraged to carry out further killings with impunity.</w:t>
      </w:r>
    </w:p>
    <w:p w:rsidR="0036119D" w:rsidRPr="003C0E95" w:rsidRDefault="0036119D" w:rsidP="0036119D">
      <w:pPr>
        <w:pStyle w:val="NormalWeb"/>
        <w:rPr>
          <w:rFonts w:ascii="Arial" w:hAnsi="Arial" w:cs="Arial"/>
          <w:b/>
          <w:sz w:val="18"/>
          <w:szCs w:val="18"/>
          <w:u w:val="single"/>
        </w:rPr>
      </w:pPr>
      <w:r w:rsidRPr="003C0E95">
        <w:rPr>
          <w:rFonts w:ascii="Arial" w:hAnsi="Arial" w:cs="Arial"/>
          <w:b/>
          <w:sz w:val="18"/>
          <w:szCs w:val="18"/>
          <w:u w:val="single"/>
        </w:rPr>
        <w:t>Held:</w:t>
      </w:r>
    </w:p>
    <w:p w:rsidR="0036119D" w:rsidRDefault="0036119D" w:rsidP="0036119D">
      <w:pPr>
        <w:pStyle w:val="NormalWeb"/>
      </w:pPr>
      <w:r>
        <w:rPr>
          <w:rFonts w:ascii="Arial" w:hAnsi="Arial" w:cs="Arial"/>
          <w:sz w:val="18"/>
          <w:szCs w:val="18"/>
        </w:rPr>
        <w:t>On a careful consideration of the averments made in the writ petition and the counter affidavits filed by the respondents, we find it impossible to overlook the matter without further investigation. We are clearly of the view that this matter requires further careful and deeper consideration.</w:t>
      </w:r>
      <w:r>
        <w:t xml:space="preserve"> </w:t>
      </w:r>
      <w:r>
        <w:rPr>
          <w:rFonts w:ascii="Arial" w:hAnsi="Arial" w:cs="Arial"/>
          <w:sz w:val="18"/>
          <w:szCs w:val="18"/>
        </w:rPr>
        <w:t>The writ petitioners make the prayer to constitute a Special Investigation Team comprising police officers from outside Manipur to investigate the cases of unlawful killings listed in the writ petition and to prosecute the alleged offenders but at this stage we are not inclined to appoint any Special investigation Team or to direct any investigation under the Code of Criminal Procedure. Instead, we would first like to be fully satisfied about the truth of the allegations concerning the cases cited by the writ petitioners. To that end, we propose to appoint a high powered commission that would tell us the correct facts in regard to the killings of victims in the cases cited by the petitioners. We, accordingly, constitute a three-member commission as under:</w:t>
      </w:r>
      <w:r>
        <w:t xml:space="preserve"> </w:t>
      </w:r>
      <w:r>
        <w:rPr>
          <w:rFonts w:ascii="Arial" w:hAnsi="Arial" w:cs="Arial"/>
          <w:sz w:val="18"/>
          <w:szCs w:val="18"/>
        </w:rPr>
        <w:t xml:space="preserve">1. Mr. Justice N. </w:t>
      </w:r>
      <w:proofErr w:type="spellStart"/>
      <w:r>
        <w:rPr>
          <w:rFonts w:ascii="Arial" w:hAnsi="Arial" w:cs="Arial"/>
          <w:sz w:val="18"/>
          <w:szCs w:val="18"/>
        </w:rPr>
        <w:t>Santosh</w:t>
      </w:r>
      <w:proofErr w:type="spellEnd"/>
      <w:r>
        <w:rPr>
          <w:rFonts w:ascii="Arial" w:hAnsi="Arial" w:cs="Arial"/>
          <w:sz w:val="18"/>
          <w:szCs w:val="18"/>
        </w:rPr>
        <w:t xml:space="preserve"> </w:t>
      </w:r>
      <w:proofErr w:type="spellStart"/>
      <w:r>
        <w:rPr>
          <w:rFonts w:ascii="Arial" w:hAnsi="Arial" w:cs="Arial"/>
          <w:sz w:val="18"/>
          <w:szCs w:val="18"/>
        </w:rPr>
        <w:t>Hegde</w:t>
      </w:r>
      <w:proofErr w:type="spellEnd"/>
      <w:r>
        <w:rPr>
          <w:rFonts w:ascii="Arial" w:hAnsi="Arial" w:cs="Arial"/>
          <w:sz w:val="18"/>
          <w:szCs w:val="18"/>
        </w:rPr>
        <w:t>, a former Judge of the Supreme Court of India, as Chairperson</w:t>
      </w:r>
      <w:r>
        <w:t xml:space="preserve"> </w:t>
      </w:r>
      <w:r>
        <w:rPr>
          <w:rFonts w:ascii="Arial" w:hAnsi="Arial" w:cs="Arial"/>
          <w:sz w:val="18"/>
          <w:szCs w:val="18"/>
        </w:rPr>
        <w:t xml:space="preserve">2. Mr. J. M. </w:t>
      </w:r>
      <w:proofErr w:type="spellStart"/>
      <w:r>
        <w:rPr>
          <w:rFonts w:ascii="Arial" w:hAnsi="Arial" w:cs="Arial"/>
          <w:sz w:val="18"/>
          <w:szCs w:val="18"/>
        </w:rPr>
        <w:t>Lyngdoh</w:t>
      </w:r>
      <w:proofErr w:type="spellEnd"/>
      <w:r>
        <w:rPr>
          <w:rFonts w:ascii="Arial" w:hAnsi="Arial" w:cs="Arial"/>
          <w:sz w:val="18"/>
          <w:szCs w:val="18"/>
        </w:rPr>
        <w:t>, former Chief Election Commissioner, as Member</w:t>
      </w:r>
      <w:r>
        <w:t xml:space="preserve"> </w:t>
      </w:r>
      <w:r>
        <w:rPr>
          <w:rFonts w:ascii="Arial" w:hAnsi="Arial" w:cs="Arial"/>
          <w:sz w:val="18"/>
          <w:szCs w:val="18"/>
        </w:rPr>
        <w:t xml:space="preserve">3. </w:t>
      </w:r>
      <w:proofErr w:type="gramStart"/>
      <w:r>
        <w:rPr>
          <w:rFonts w:ascii="Arial" w:hAnsi="Arial" w:cs="Arial"/>
          <w:sz w:val="18"/>
          <w:szCs w:val="18"/>
        </w:rPr>
        <w:t>Mr. Ajay Kumar Singh, former DGP and IGP, Karnataka.</w:t>
      </w:r>
      <w:proofErr w:type="gramEnd"/>
      <w:r>
        <w:t xml:space="preserve"> </w:t>
      </w:r>
      <w:r>
        <w:rPr>
          <w:rFonts w:ascii="Arial" w:hAnsi="Arial" w:cs="Arial"/>
          <w:sz w:val="18"/>
          <w:szCs w:val="18"/>
        </w:rPr>
        <w:t>We request the Commission to make a thorough enquiry in the first six cases as detailed in "Compilation 1", filed by the petitioners and record a finding regarding the past antecedents of the victims and the circumstances in which they were killed. The State Government and all other concerned agencies are directed to hand over to the Commission, without any delay, all records, materials and evidences relating to the cases, as directed above, for holding the enquiry. It will be open to the Commission to take statements of witnesses in connection with the enquiry conducted by it and it will, of course, be free to devise its own procedure for holding the enquiry. In light of the enquiries made by it, the Commission will also address the larger question of the role of the State Police and the security forces in Manipur.</w:t>
      </w:r>
      <w:r>
        <w:t xml:space="preserve"> </w:t>
      </w:r>
      <w:r>
        <w:rPr>
          <w:rFonts w:ascii="Arial" w:hAnsi="Arial" w:cs="Arial"/>
          <w:sz w:val="18"/>
          <w:szCs w:val="18"/>
        </w:rPr>
        <w:t>The Commission will also make a report regarding the functioning of the State Police and security forces in the State of Manipur and in case it finds that the actions of the police and/or the security forces transgress the legal bounds the Commission shall make its recommendations for keeping the police and the security forces within the legal bounds without compromising the fight against insurgency. The Commission is requested to give its report within twelve weeks from today. The Central Government and the Government of the State of Manipur are directed to extend full facilities, including manpower support and secretarial assistance as may be desired by the Commission to effectively and expeditiously carry out the task assigned to it by the Court. The Registry is directed to furnish a copy of this order and complete sets of briefs in both the writ petitions to each of the members of the Commission forthwith. Put up on receipt of the report by the Commission.</w:t>
      </w:r>
    </w:p>
    <w:tbl>
      <w:tblPr>
        <w:tblW w:w="5000" w:type="pct"/>
        <w:tblCellSpacing w:w="0" w:type="dxa"/>
        <w:tblCellMar>
          <w:top w:w="60" w:type="dxa"/>
          <w:left w:w="60" w:type="dxa"/>
          <w:bottom w:w="60" w:type="dxa"/>
          <w:right w:w="60" w:type="dxa"/>
        </w:tblCellMar>
        <w:tblLook w:val="04A0"/>
      </w:tblPr>
      <w:tblGrid>
        <w:gridCol w:w="3160"/>
        <w:gridCol w:w="3160"/>
        <w:gridCol w:w="3160"/>
      </w:tblGrid>
      <w:tr w:rsidR="0036119D" w:rsidTr="00CD03CF">
        <w:trPr>
          <w:tblCellSpacing w:w="0" w:type="dxa"/>
        </w:trPr>
        <w:tc>
          <w:tcPr>
            <w:tcW w:w="0" w:type="auto"/>
            <w:vAlign w:val="center"/>
            <w:hideMark/>
          </w:tcPr>
          <w:p w:rsidR="0036119D" w:rsidRDefault="0036119D" w:rsidP="00CD03CF">
            <w:pPr>
              <w:rPr>
                <w:sz w:val="24"/>
                <w:szCs w:val="24"/>
              </w:rPr>
            </w:pPr>
          </w:p>
        </w:tc>
        <w:tc>
          <w:tcPr>
            <w:tcW w:w="0" w:type="auto"/>
            <w:vAlign w:val="center"/>
            <w:hideMark/>
          </w:tcPr>
          <w:p w:rsidR="0036119D" w:rsidRDefault="0036119D" w:rsidP="00CD03CF">
            <w:pPr>
              <w:rPr>
                <w:sz w:val="24"/>
                <w:szCs w:val="24"/>
              </w:rPr>
            </w:pPr>
          </w:p>
        </w:tc>
        <w:tc>
          <w:tcPr>
            <w:tcW w:w="0" w:type="auto"/>
            <w:vAlign w:val="center"/>
            <w:hideMark/>
          </w:tcPr>
          <w:p w:rsidR="0036119D" w:rsidRDefault="0036119D" w:rsidP="00CD03CF">
            <w:pPr>
              <w:rPr>
                <w:sz w:val="24"/>
                <w:szCs w:val="24"/>
              </w:rPr>
            </w:pPr>
          </w:p>
        </w:tc>
      </w:tr>
    </w:tbl>
    <w:p w:rsidR="0036119D" w:rsidRDefault="0036119D" w:rsidP="0036119D">
      <w:r>
        <w:br/>
      </w:r>
    </w:p>
    <w:p w:rsidR="0036119D" w:rsidRDefault="0036119D" w:rsidP="0036119D"/>
    <w:p w:rsidR="0036119D" w:rsidRDefault="0036119D" w:rsidP="0036119D"/>
    <w:p w:rsidR="003C08F4" w:rsidRDefault="003C08F4"/>
    <w:sectPr w:rsidR="003C08F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36119D"/>
    <w:rsid w:val="0036119D"/>
    <w:rsid w:val="003C08F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6119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1226</Words>
  <Characters>6989</Characters>
  <Application>Microsoft Office Word</Application>
  <DocSecurity>0</DocSecurity>
  <Lines>58</Lines>
  <Paragraphs>16</Paragraphs>
  <ScaleCrop>false</ScaleCrop>
  <Company/>
  <LinksUpToDate>false</LinksUpToDate>
  <CharactersWithSpaces>8199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2</cp:revision>
  <dcterms:created xsi:type="dcterms:W3CDTF">2013-06-20T10:56:00Z</dcterms:created>
  <dcterms:modified xsi:type="dcterms:W3CDTF">2013-06-20T10:56:00Z</dcterms:modified>
</cp:coreProperties>
</file>