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1BC" w:rsidRPr="004601BC" w:rsidRDefault="004601BC" w:rsidP="004601BC">
      <w:pPr>
        <w:pStyle w:val="NormalWeb"/>
        <w:jc w:val="center"/>
        <w:rPr>
          <w:rFonts w:asciiTheme="majorHAnsi" w:hAnsiTheme="majorHAnsi" w:cs="Arial"/>
          <w:b/>
          <w:bCs/>
          <w:sz w:val="20"/>
          <w:szCs w:val="20"/>
          <w:u w:val="single"/>
        </w:rPr>
      </w:pPr>
      <w:r w:rsidRPr="004601BC">
        <w:rPr>
          <w:rFonts w:asciiTheme="majorHAnsi" w:hAnsiTheme="majorHAnsi" w:cs="Arial"/>
          <w:b/>
          <w:bCs/>
          <w:sz w:val="20"/>
          <w:szCs w:val="20"/>
          <w:u w:val="single"/>
        </w:rPr>
        <w:t>Supreme Court</w:t>
      </w:r>
    </w:p>
    <w:p w:rsidR="004601BC" w:rsidRDefault="004601BC" w:rsidP="004601BC">
      <w:pPr>
        <w:pStyle w:val="NormalWeb"/>
        <w:rPr>
          <w:rFonts w:asciiTheme="majorHAnsi" w:hAnsiTheme="majorHAnsi"/>
          <w:sz w:val="20"/>
          <w:szCs w:val="20"/>
        </w:rPr>
      </w:pPr>
      <w:r>
        <w:rPr>
          <w:rFonts w:asciiTheme="majorHAnsi" w:hAnsiTheme="majorHAnsi" w:cs="Arial"/>
          <w:b/>
          <w:bCs/>
          <w:sz w:val="20"/>
          <w:szCs w:val="20"/>
        </w:rPr>
        <w:t xml:space="preserve">Commissioner of Income Tax-II </w:t>
      </w:r>
      <w:proofErr w:type="gramStart"/>
      <w:r>
        <w:rPr>
          <w:rFonts w:asciiTheme="majorHAnsi" w:hAnsiTheme="majorHAnsi" w:cs="Arial"/>
          <w:b/>
          <w:bCs/>
          <w:sz w:val="20"/>
          <w:szCs w:val="20"/>
        </w:rPr>
        <w:t>Vs</w:t>
      </w:r>
      <w:proofErr w:type="gramEnd"/>
      <w:r>
        <w:rPr>
          <w:rFonts w:asciiTheme="majorHAnsi" w:hAnsiTheme="majorHAnsi" w:cs="Arial"/>
          <w:b/>
          <w:bCs/>
          <w:sz w:val="20"/>
          <w:szCs w:val="20"/>
        </w:rPr>
        <w:t xml:space="preserve">. M/s. </w:t>
      </w:r>
      <w:proofErr w:type="spellStart"/>
      <w:r>
        <w:rPr>
          <w:rFonts w:asciiTheme="majorHAnsi" w:hAnsiTheme="majorHAnsi" w:cs="Arial"/>
          <w:b/>
          <w:bCs/>
          <w:sz w:val="20"/>
          <w:szCs w:val="20"/>
        </w:rPr>
        <w:t>Krishi</w:t>
      </w:r>
      <w:proofErr w:type="spellEnd"/>
      <w:r>
        <w:rPr>
          <w:rFonts w:asciiTheme="majorHAnsi" w:hAnsiTheme="majorHAnsi" w:cs="Arial"/>
          <w:b/>
          <w:bCs/>
          <w:sz w:val="20"/>
          <w:szCs w:val="20"/>
        </w:rPr>
        <w:t xml:space="preserve"> </w:t>
      </w:r>
      <w:proofErr w:type="spellStart"/>
      <w:r>
        <w:rPr>
          <w:rFonts w:asciiTheme="majorHAnsi" w:hAnsiTheme="majorHAnsi" w:cs="Arial"/>
          <w:b/>
          <w:bCs/>
          <w:sz w:val="20"/>
          <w:szCs w:val="20"/>
        </w:rPr>
        <w:t>Utpadan</w:t>
      </w:r>
      <w:proofErr w:type="spellEnd"/>
      <w:r>
        <w:rPr>
          <w:rFonts w:asciiTheme="majorHAnsi" w:hAnsiTheme="majorHAnsi" w:cs="Arial"/>
          <w:b/>
          <w:bCs/>
          <w:sz w:val="20"/>
          <w:szCs w:val="20"/>
        </w:rPr>
        <w:t xml:space="preserve"> </w:t>
      </w:r>
      <w:proofErr w:type="spellStart"/>
      <w:r>
        <w:rPr>
          <w:rFonts w:asciiTheme="majorHAnsi" w:hAnsiTheme="majorHAnsi" w:cs="Arial"/>
          <w:b/>
          <w:bCs/>
          <w:sz w:val="20"/>
          <w:szCs w:val="20"/>
        </w:rPr>
        <w:t>Mandi</w:t>
      </w:r>
      <w:proofErr w:type="spellEnd"/>
      <w:r>
        <w:rPr>
          <w:rFonts w:asciiTheme="majorHAnsi" w:hAnsiTheme="majorHAnsi" w:cs="Arial"/>
          <w:b/>
          <w:bCs/>
          <w:sz w:val="20"/>
          <w:szCs w:val="20"/>
        </w:rPr>
        <w:t xml:space="preserve"> </w:t>
      </w:r>
      <w:proofErr w:type="spellStart"/>
      <w:r>
        <w:rPr>
          <w:rFonts w:asciiTheme="majorHAnsi" w:hAnsiTheme="majorHAnsi" w:cs="Arial"/>
          <w:b/>
          <w:bCs/>
          <w:sz w:val="20"/>
          <w:szCs w:val="20"/>
        </w:rPr>
        <w:t>Samiti</w:t>
      </w:r>
      <w:proofErr w:type="spellEnd"/>
    </w:p>
    <w:p w:rsidR="004601BC" w:rsidRDefault="004601BC" w:rsidP="004601BC">
      <w:pPr>
        <w:pStyle w:val="NormalWeb"/>
        <w:rPr>
          <w:rFonts w:asciiTheme="majorHAnsi" w:hAnsiTheme="majorHAnsi" w:cs="Arial"/>
          <w:b/>
          <w:bCs/>
          <w:sz w:val="20"/>
          <w:szCs w:val="20"/>
        </w:rPr>
      </w:pPr>
      <w:r>
        <w:rPr>
          <w:rFonts w:asciiTheme="majorHAnsi" w:hAnsiTheme="majorHAnsi" w:cs="Arial"/>
          <w:b/>
          <w:bCs/>
          <w:sz w:val="20"/>
          <w:szCs w:val="20"/>
        </w:rPr>
        <w:t>[Civil Appeal No.7040 of 2012 Arising out of S.L.P. (C) No.20186 of 2010]</w:t>
      </w:r>
    </w:p>
    <w:p w:rsidR="004601BC" w:rsidRDefault="004601BC" w:rsidP="004601BC">
      <w:pPr>
        <w:pStyle w:val="NormalWeb"/>
        <w:rPr>
          <w:rFonts w:asciiTheme="majorHAnsi" w:hAnsiTheme="majorHAnsi"/>
          <w:b/>
          <w:sz w:val="20"/>
          <w:szCs w:val="20"/>
        </w:rPr>
      </w:pPr>
      <w:r>
        <w:rPr>
          <w:rFonts w:asciiTheme="majorHAnsi" w:hAnsiTheme="majorHAnsi"/>
          <w:b/>
          <w:sz w:val="20"/>
          <w:szCs w:val="20"/>
        </w:rPr>
        <w:t>Decided on: September 27, 2012</w:t>
      </w:r>
    </w:p>
    <w:p w:rsidR="004601BC" w:rsidRDefault="004601BC" w:rsidP="004601BC">
      <w:pPr>
        <w:spacing w:before="100" w:beforeAutospacing="1" w:after="100" w:afterAutospacing="1" w:line="240" w:lineRule="auto"/>
        <w:rPr>
          <w:rFonts w:asciiTheme="majorHAnsi" w:eastAsia="Times New Roman" w:hAnsiTheme="majorHAnsi" w:cs="Times New Roman"/>
          <w:b/>
          <w:sz w:val="20"/>
          <w:szCs w:val="20"/>
        </w:rPr>
      </w:pPr>
      <w:r>
        <w:rPr>
          <w:rFonts w:asciiTheme="majorHAnsi" w:eastAsia="Times New Roman" w:hAnsiTheme="majorHAnsi" w:cs="Arial"/>
          <w:b/>
          <w:sz w:val="20"/>
          <w:szCs w:val="20"/>
        </w:rPr>
        <w:t>S.H. KAPADIA, CJI</w:t>
      </w:r>
    </w:p>
    <w:p w:rsidR="004601BC" w:rsidRDefault="004601BC" w:rsidP="004601BC">
      <w:pPr>
        <w:spacing w:before="100" w:beforeAutospacing="1" w:after="100" w:afterAutospacing="1" w:line="240" w:lineRule="auto"/>
        <w:rPr>
          <w:rFonts w:asciiTheme="majorHAnsi" w:eastAsia="Times New Roman" w:hAnsiTheme="majorHAnsi" w:cs="Arial"/>
          <w:sz w:val="20"/>
          <w:szCs w:val="20"/>
        </w:rPr>
      </w:pPr>
      <w:r>
        <w:rPr>
          <w:rFonts w:asciiTheme="majorHAnsi" w:eastAsia="Times New Roman" w:hAnsiTheme="majorHAnsi" w:cs="Arial"/>
          <w:sz w:val="20"/>
          <w:szCs w:val="20"/>
        </w:rPr>
        <w:t xml:space="preserve"> This batch of civil appeals was filed by the Department. The question, which arises for determination in this batch of civil appeals, is as follows: "Whether amounts transferred by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to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would constitute application of income for charitable purposes within the meaning of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 xml:space="preserve">a) of the Income Tax Act, 1961?" </w:t>
      </w:r>
    </w:p>
    <w:p w:rsidR="004601BC" w:rsidRDefault="004601BC" w:rsidP="004601BC">
      <w:pPr>
        <w:spacing w:before="100" w:beforeAutospacing="1" w:after="100" w:afterAutospacing="1" w:line="240" w:lineRule="auto"/>
        <w:rPr>
          <w:rFonts w:asciiTheme="majorHAnsi" w:eastAsia="Times New Roman" w:hAnsiTheme="majorHAnsi" w:cs="Arial"/>
          <w:b/>
          <w:sz w:val="20"/>
          <w:szCs w:val="20"/>
        </w:rPr>
      </w:pPr>
      <w:r>
        <w:rPr>
          <w:rFonts w:asciiTheme="majorHAnsi" w:eastAsia="Times New Roman" w:hAnsiTheme="majorHAnsi" w:cs="Arial"/>
          <w:b/>
          <w:sz w:val="20"/>
          <w:szCs w:val="20"/>
        </w:rPr>
        <w:t>FACTS:</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M/s. </w:t>
      </w:r>
      <w:proofErr w:type="spellStart"/>
      <w:r>
        <w:rPr>
          <w:rFonts w:asciiTheme="majorHAnsi" w:eastAsia="Times New Roman" w:hAnsiTheme="majorHAnsi" w:cs="Arial"/>
          <w:sz w:val="20"/>
          <w:szCs w:val="20"/>
        </w:rPr>
        <w:t>Krishi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Utpadan</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respondent-</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herein, is a Market Committee incorporated and registered under the Uttar Pradesh </w:t>
      </w:r>
      <w:proofErr w:type="spellStart"/>
      <w:r>
        <w:rPr>
          <w:rFonts w:asciiTheme="majorHAnsi" w:eastAsia="Times New Roman" w:hAnsiTheme="majorHAnsi" w:cs="Arial"/>
          <w:sz w:val="20"/>
          <w:szCs w:val="20"/>
        </w:rPr>
        <w:t>Krishi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Utpadan</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w:t>
      </w:r>
      <w:proofErr w:type="gramStart"/>
      <w:r>
        <w:rPr>
          <w:rFonts w:asciiTheme="majorHAnsi" w:eastAsia="Times New Roman" w:hAnsiTheme="majorHAnsi" w:cs="Arial"/>
          <w:sz w:val="20"/>
          <w:szCs w:val="20"/>
        </w:rPr>
        <w:t>1964 .</w:t>
      </w:r>
      <w:proofErr w:type="gramEnd"/>
      <w:r>
        <w:rPr>
          <w:rFonts w:asciiTheme="majorHAnsi" w:eastAsia="Times New Roman" w:hAnsiTheme="majorHAnsi" w:cs="Arial"/>
          <w:sz w:val="20"/>
          <w:szCs w:val="20"/>
        </w:rPr>
        <w:t xml:space="preserve">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carries out its activities in accordance with Section 16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under which it is required to provide facilities for sale and purchase of specified agricultural produce in the Market Area.</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The Members of the said Market Committee consist of producers, brokers, agriculturists, traders, commission agents and </w:t>
      </w:r>
      <w:proofErr w:type="spellStart"/>
      <w:r>
        <w:rPr>
          <w:rFonts w:asciiTheme="majorHAnsi" w:eastAsia="Times New Roman" w:hAnsiTheme="majorHAnsi" w:cs="Arial"/>
          <w:sz w:val="20"/>
          <w:szCs w:val="20"/>
        </w:rPr>
        <w:t>arhatiyas</w:t>
      </w:r>
      <w:proofErr w:type="spellEnd"/>
      <w:r>
        <w:rPr>
          <w:rFonts w:asciiTheme="majorHAnsi" w:eastAsia="Times New Roman" w:hAnsiTheme="majorHAnsi" w:cs="Arial"/>
          <w:sz w:val="20"/>
          <w:szCs w:val="20"/>
        </w:rPr>
        <w:t xml:space="preserve">. The source of income of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is in the form of receipt collected as market fee from buyers and their agents, development </w:t>
      </w:r>
      <w:proofErr w:type="spellStart"/>
      <w:r>
        <w:rPr>
          <w:rFonts w:asciiTheme="majorHAnsi" w:eastAsia="Times New Roman" w:hAnsiTheme="majorHAnsi" w:cs="Arial"/>
          <w:sz w:val="20"/>
          <w:szCs w:val="20"/>
        </w:rPr>
        <w:t>cess</w:t>
      </w:r>
      <w:proofErr w:type="spellEnd"/>
      <w:r>
        <w:rPr>
          <w:rFonts w:asciiTheme="majorHAnsi" w:eastAsia="Times New Roman" w:hAnsiTheme="majorHAnsi" w:cs="Arial"/>
          <w:sz w:val="20"/>
          <w:szCs w:val="20"/>
        </w:rPr>
        <w:t xml:space="preserve"> on sale and purchase of agricultural products and </w:t>
      </w:r>
      <w:proofErr w:type="spellStart"/>
      <w:r>
        <w:rPr>
          <w:rFonts w:asciiTheme="majorHAnsi" w:eastAsia="Times New Roman" w:hAnsiTheme="majorHAnsi" w:cs="Arial"/>
          <w:sz w:val="20"/>
          <w:szCs w:val="20"/>
        </w:rPr>
        <w:t>licence</w:t>
      </w:r>
      <w:proofErr w:type="spellEnd"/>
      <w:r>
        <w:rPr>
          <w:rFonts w:asciiTheme="majorHAnsi" w:eastAsia="Times New Roman" w:hAnsiTheme="majorHAnsi" w:cs="Arial"/>
          <w:sz w:val="20"/>
          <w:szCs w:val="20"/>
        </w:rPr>
        <w:t xml:space="preserve"> fees from traders. Under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broadly, there are two distinct entities or bodies. One is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and the other is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[Board] is established and incorporated </w:t>
      </w:r>
      <w:proofErr w:type="gramStart"/>
      <w:r>
        <w:rPr>
          <w:rFonts w:asciiTheme="majorHAnsi" w:eastAsia="Times New Roman" w:hAnsiTheme="majorHAnsi" w:cs="Arial"/>
          <w:sz w:val="20"/>
          <w:szCs w:val="20"/>
        </w:rPr>
        <w:t>under</w:t>
      </w:r>
      <w:proofErr w:type="gramEnd"/>
      <w:r>
        <w:rPr>
          <w:rFonts w:asciiTheme="majorHAnsi" w:eastAsia="Times New Roman" w:hAnsiTheme="majorHAnsi" w:cs="Arial"/>
          <w:sz w:val="20"/>
          <w:szCs w:val="20"/>
        </w:rPr>
        <w:t xml:space="preserve"> Section 12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for a specified Market Area. Section 16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inter alia, concerns functions and duties of the Market Committee.</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Under Section 16(1)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the Market Committee is under statutory obligation to enforce the provisions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the Rules and Bye-laws made there under so as to provide such facilities for sale and purchase of specified agricultural produce, as may be specified by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from time to time. Section 17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deals with powers of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Section 17(iii), inter alia, empowers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to levy and collect market fee payable on transactions of sale of specified agricultural produce in the Market Area at such rates, as may be prescribed by the State Government. Under Section 17(iii</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 xml:space="preserve">b),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is also empowered to charge and collect development </w:t>
      </w:r>
      <w:proofErr w:type="spellStart"/>
      <w:r>
        <w:rPr>
          <w:rFonts w:asciiTheme="majorHAnsi" w:eastAsia="Times New Roman" w:hAnsiTheme="majorHAnsi" w:cs="Arial"/>
          <w:sz w:val="20"/>
          <w:szCs w:val="20"/>
        </w:rPr>
        <w:t>cess</w:t>
      </w:r>
      <w:proofErr w:type="spellEnd"/>
      <w:r>
        <w:rPr>
          <w:rFonts w:asciiTheme="majorHAnsi" w:eastAsia="Times New Roman" w:hAnsiTheme="majorHAnsi" w:cs="Arial"/>
          <w:sz w:val="20"/>
          <w:szCs w:val="20"/>
        </w:rPr>
        <w:t>.</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Under Section 17(iv),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has to </w:t>
      </w:r>
      <w:proofErr w:type="spellStart"/>
      <w:r>
        <w:rPr>
          <w:rFonts w:asciiTheme="majorHAnsi" w:eastAsia="Times New Roman" w:hAnsiTheme="majorHAnsi" w:cs="Arial"/>
          <w:sz w:val="20"/>
          <w:szCs w:val="20"/>
        </w:rPr>
        <w:t>utilise</w:t>
      </w:r>
      <w:proofErr w:type="spellEnd"/>
      <w:r>
        <w:rPr>
          <w:rFonts w:asciiTheme="majorHAnsi" w:eastAsia="Times New Roman" w:hAnsiTheme="majorHAnsi" w:cs="Arial"/>
          <w:sz w:val="20"/>
          <w:szCs w:val="20"/>
        </w:rPr>
        <w:t xml:space="preserve"> Market Committee Fund for the purposes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Under Section 17(v-a),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can even advance loans to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on such terms and conditions as may be mutually agreed upon between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and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Section 19 deals with constitution of Market Committee Fund and its utilization. Section 19(1) stipulates that all monies received by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shall be credited to a fund called "Market Committee Fund". Section 19(2), inter alia, states that all expenditure incurred by the Committee in carrying out the purposes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shall be defrayed out of Market Committee Fund and surplus, if any, shall be invested in such manner as may be prescribed. In this case</w:t>
      </w:r>
      <w:proofErr w:type="gramStart"/>
      <w:r>
        <w:rPr>
          <w:rFonts w:asciiTheme="majorHAnsi" w:eastAsia="Times New Roman" w:hAnsiTheme="majorHAnsi" w:cs="Arial"/>
          <w:sz w:val="20"/>
          <w:szCs w:val="20"/>
        </w:rPr>
        <w:t>,  the</w:t>
      </w:r>
      <w:proofErr w:type="gramEnd"/>
      <w:r>
        <w:rPr>
          <w:rFonts w:asciiTheme="majorHAnsi" w:eastAsia="Times New Roman" w:hAnsiTheme="majorHAnsi" w:cs="Arial"/>
          <w:sz w:val="20"/>
          <w:szCs w:val="20"/>
        </w:rPr>
        <w:t xml:space="preserve"> question of concern is "whether transfer of amounts collected by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to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[Board] would constitute application of income for charitable purposes under Section 11(1)(a) of 1961 Act?"</w:t>
      </w:r>
    </w:p>
    <w:p w:rsidR="004601BC" w:rsidRDefault="004601BC" w:rsidP="004601BC">
      <w:pPr>
        <w:spacing w:before="100" w:beforeAutospacing="1" w:after="100" w:afterAutospacing="1" w:line="240" w:lineRule="auto"/>
        <w:rPr>
          <w:rFonts w:asciiTheme="majorHAnsi" w:eastAsia="Times New Roman" w:hAnsiTheme="majorHAnsi" w:cs="Times New Roman"/>
          <w:b/>
          <w:sz w:val="20"/>
          <w:szCs w:val="20"/>
        </w:rPr>
      </w:pPr>
      <w:r>
        <w:rPr>
          <w:rFonts w:asciiTheme="majorHAnsi" w:eastAsia="Times New Roman" w:hAnsiTheme="majorHAnsi" w:cs="Times New Roman"/>
          <w:b/>
          <w:sz w:val="20"/>
          <w:szCs w:val="20"/>
        </w:rPr>
        <w:t>OBSERVATION:</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lastRenderedPageBreak/>
        <w:t xml:space="preserve">Even after the amendment of Section 10(20) and Section 10(29) of 1961 Act,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continues to enjoy the registration under Section 12AA of 1961 Act for the reason that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is a Market Committee statutorily established under Section 12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for the advancement of the object of general public utility in terms of Section 2(15) of 1961 Act. [See also Section 16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Moreover, it is always open to the Department to verify and find out whether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has utilized the amounts for the purposes of 1964 Act.</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The question is what do we mean by "application of income"? This judgment is confined to the statutory scheme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Under Section 19(2)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all expenditure incurred by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in carrying out the purposes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[which includes advancing credit facilities to farmers and agriculturists as also construction of development works in the Market Area] has to be defrayed out of the Market Committee Fund and the surplus, if any, has to be invested in such manner as may be prescribed.</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This is one circumstance in the 1964 Act to indicate application of income. Similarly, under Section 19-B(2)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is statutorily obliged to apply Market Development Fund for the purposes of development of Market Area. Under Section 19-B(3),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is statutorily obliged to utilize the amounts lying to the credit in the Market Development Fund for extending facilities to the agriculturists, producers and payers of market fees.</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The Market Development Fund is also to be statutorily utilized for development of market yards. Similarly, all contributions received by the Market Committee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from its members under Section 19(5) shall be statutorily paid by the Market Committee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to Uttar Pradesh State Marketing Development Fund. These provisions clearly indicate application of income of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to the statutory Funds set up under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Keeping in mind the statutory scheme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whose object falls under Section 2(15) of 1961 Act, there is no doubt that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satisfies the conditions of Section 11(1)(a) of 1961 Act.</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The income derived by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[which is an institution registered under Section 12AA of 1961 Act] from its property has been applied for charitable purposes which includes advancement of an object of general public utility. Consequently, we see no reason to interfere with the impugned </w:t>
      </w:r>
      <w:proofErr w:type="spellStart"/>
      <w:r>
        <w:rPr>
          <w:rFonts w:asciiTheme="majorHAnsi" w:eastAsia="Times New Roman" w:hAnsiTheme="majorHAnsi" w:cs="Arial"/>
          <w:sz w:val="20"/>
          <w:szCs w:val="20"/>
        </w:rPr>
        <w:t>judgement</w:t>
      </w:r>
      <w:proofErr w:type="spellEnd"/>
      <w:r>
        <w:rPr>
          <w:rFonts w:asciiTheme="majorHAnsi" w:eastAsia="Times New Roman" w:hAnsiTheme="majorHAnsi" w:cs="Arial"/>
          <w:sz w:val="20"/>
          <w:szCs w:val="20"/>
        </w:rPr>
        <w:t xml:space="preserve"> of the High Court. Before concluding, one point needs to be highlighted. In one of the matters, the Assessing Officer has held that, on the facts and circumstances of the case,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was not entitled to avail the benefits of exemption under Section 12(1) of 1961 Act, despite the fact that it was registered under Section 12AA of 1961 Act, because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was statutorily obliged to contribute to the Fund of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under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Therefore, according to the Assessing Officer, there was no voluntary contribution. Absent such voluntary contribution, according to the Assessing Officer, the </w:t>
      </w:r>
      <w:proofErr w:type="spellStart"/>
      <w:r>
        <w:rPr>
          <w:rFonts w:asciiTheme="majorHAnsi" w:eastAsia="Times New Roman" w:hAnsiTheme="majorHAnsi" w:cs="Arial"/>
          <w:sz w:val="20"/>
          <w:szCs w:val="20"/>
        </w:rPr>
        <w:t>assessee</w:t>
      </w:r>
      <w:proofErr w:type="spellEnd"/>
      <w:r>
        <w:rPr>
          <w:rFonts w:asciiTheme="majorHAnsi" w:eastAsia="Times New Roman" w:hAnsiTheme="majorHAnsi" w:cs="Arial"/>
          <w:sz w:val="20"/>
          <w:szCs w:val="20"/>
        </w:rPr>
        <w:t xml:space="preserve"> herein was not entitled to claim the benefit of exemption under Section 12(1) of 1961 Act. We find no merit in this finding of the Assessing Officer. At the outset, it needs to be mentioned that the Assessing Officer has not understood the scheme of the 1964 Act. On reading the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(Act) it is clear that the word "contribution" in the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is in the context of what the members contribute to the Fund(s) held statutorily by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which merely transfers the amount(s) to the Fund(s) of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Even the question framed by Court/Authorities below is</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 xml:space="preserve">"Whether amounts transferred by the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would constitute application of income under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a) of 1961 Act". Therefore, the question of voluntary contribution under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d) or under Section 12(1) does not arise. The question of "control" may be relevant in the context of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d) or under Section 12(1). However, in the present case, the question framed deals with application of income under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a). Hence, the Assessing Officer had erred in invoking Section 12(1). Section 11(1) deals with four items of "income" from property held for charitable purposes. These four items of income are distinct and separate items of income.</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d) deals with the fourth item of income.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 xml:space="preserve">d), inter alia, refers to income in the form of voluntary contributions made with a specific direction that it shall form part of the corpus of the </w:t>
      </w:r>
      <w:r>
        <w:rPr>
          <w:rFonts w:asciiTheme="majorHAnsi" w:eastAsia="Times New Roman" w:hAnsiTheme="majorHAnsi" w:cs="Arial"/>
          <w:sz w:val="20"/>
          <w:szCs w:val="20"/>
        </w:rPr>
        <w:lastRenderedPageBreak/>
        <w:t>Trust or Institution whereas Section 12(1) refers to non-corpus voluntary contribution. In the present case, neither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 xml:space="preserve">d) nor Section 12(1) of 1961 Act is attracted. In the present case, the narrow controversy is, whether, in the facts and circumstances of the case, the amounts statutorily transferred to </w:t>
      </w:r>
      <w:proofErr w:type="spellStart"/>
      <w:r>
        <w:rPr>
          <w:rFonts w:asciiTheme="majorHAnsi" w:eastAsia="Times New Roman" w:hAnsiTheme="majorHAnsi" w:cs="Arial"/>
          <w:sz w:val="20"/>
          <w:szCs w:val="20"/>
        </w:rPr>
        <w:t>Rajya</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Krishi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Utpadan</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Parishad</w:t>
      </w:r>
      <w:proofErr w:type="spellEnd"/>
      <w:r>
        <w:rPr>
          <w:rFonts w:asciiTheme="majorHAnsi" w:eastAsia="Times New Roman" w:hAnsiTheme="majorHAnsi" w:cs="Arial"/>
          <w:sz w:val="20"/>
          <w:szCs w:val="20"/>
        </w:rPr>
        <w:t xml:space="preserve"> would constitute application of income for charitable purposes under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 xml:space="preserve">a) of 1961 Act? Looking to the provisions of 1964 </w:t>
      </w:r>
      <w:proofErr w:type="spellStart"/>
      <w:r>
        <w:rPr>
          <w:rFonts w:asciiTheme="majorHAnsi" w:eastAsia="Times New Roman" w:hAnsiTheme="majorHAnsi" w:cs="Arial"/>
          <w:sz w:val="20"/>
          <w:szCs w:val="20"/>
        </w:rPr>
        <w:t>Adhiniyam</w:t>
      </w:r>
      <w:proofErr w:type="spellEnd"/>
      <w:r>
        <w:rPr>
          <w:rFonts w:asciiTheme="majorHAnsi" w:eastAsia="Times New Roman" w:hAnsiTheme="majorHAnsi" w:cs="Arial"/>
          <w:sz w:val="20"/>
          <w:szCs w:val="20"/>
        </w:rPr>
        <w:t xml:space="preserve"> we hold that the transfer of the amounts by </w:t>
      </w:r>
      <w:proofErr w:type="spellStart"/>
      <w:r>
        <w:rPr>
          <w:rFonts w:asciiTheme="majorHAnsi" w:eastAsia="Times New Roman" w:hAnsiTheme="majorHAnsi" w:cs="Arial"/>
          <w:sz w:val="20"/>
          <w:szCs w:val="20"/>
        </w:rPr>
        <w:t>Mandi</w:t>
      </w:r>
      <w:proofErr w:type="spellEnd"/>
      <w:r>
        <w:rPr>
          <w:rFonts w:asciiTheme="majorHAnsi" w:eastAsia="Times New Roman" w:hAnsiTheme="majorHAnsi" w:cs="Arial"/>
          <w:sz w:val="20"/>
          <w:szCs w:val="20"/>
        </w:rPr>
        <w:t xml:space="preserve"> </w:t>
      </w:r>
      <w:proofErr w:type="spellStart"/>
      <w:r>
        <w:rPr>
          <w:rFonts w:asciiTheme="majorHAnsi" w:eastAsia="Times New Roman" w:hAnsiTheme="majorHAnsi" w:cs="Arial"/>
          <w:sz w:val="20"/>
          <w:szCs w:val="20"/>
        </w:rPr>
        <w:t>Samiti</w:t>
      </w:r>
      <w:proofErr w:type="spellEnd"/>
      <w:r>
        <w:rPr>
          <w:rFonts w:asciiTheme="majorHAnsi" w:eastAsia="Times New Roman" w:hAnsiTheme="majorHAnsi" w:cs="Arial"/>
          <w:sz w:val="20"/>
          <w:szCs w:val="20"/>
        </w:rPr>
        <w:t xml:space="preserve"> constituted application of income under Section 11(1</w:t>
      </w:r>
      <w:proofErr w:type="gramStart"/>
      <w:r>
        <w:rPr>
          <w:rFonts w:asciiTheme="majorHAnsi" w:eastAsia="Times New Roman" w:hAnsiTheme="majorHAnsi" w:cs="Arial"/>
          <w:sz w:val="20"/>
          <w:szCs w:val="20"/>
        </w:rPr>
        <w:t>)(</w:t>
      </w:r>
      <w:proofErr w:type="gramEnd"/>
      <w:r>
        <w:rPr>
          <w:rFonts w:asciiTheme="majorHAnsi" w:eastAsia="Times New Roman" w:hAnsiTheme="majorHAnsi" w:cs="Arial"/>
          <w:sz w:val="20"/>
          <w:szCs w:val="20"/>
        </w:rPr>
        <w:t>a) of 1961 Act.</w:t>
      </w:r>
    </w:p>
    <w:p w:rsidR="004601BC" w:rsidRDefault="004601BC" w:rsidP="004601BC">
      <w:pPr>
        <w:spacing w:before="100" w:beforeAutospacing="1" w:after="100" w:afterAutospacing="1" w:line="240" w:lineRule="auto"/>
        <w:rPr>
          <w:rFonts w:asciiTheme="majorHAnsi" w:eastAsia="Times New Roman" w:hAnsiTheme="majorHAnsi" w:cs="Arial"/>
          <w:b/>
          <w:sz w:val="20"/>
          <w:szCs w:val="20"/>
        </w:rPr>
      </w:pPr>
      <w:r>
        <w:rPr>
          <w:rFonts w:asciiTheme="majorHAnsi" w:eastAsia="Times New Roman" w:hAnsiTheme="majorHAnsi" w:cs="Arial"/>
          <w:b/>
          <w:sz w:val="20"/>
          <w:szCs w:val="20"/>
        </w:rPr>
        <w:t>HELD</w:t>
      </w:r>
    </w:p>
    <w:p w:rsidR="004601BC" w:rsidRDefault="004601BC" w:rsidP="004601BC">
      <w:pPr>
        <w:spacing w:before="100" w:beforeAutospacing="1" w:after="100" w:afterAutospacing="1" w:line="240" w:lineRule="auto"/>
        <w:rPr>
          <w:rFonts w:asciiTheme="majorHAnsi" w:eastAsia="Times New Roman" w:hAnsiTheme="majorHAnsi" w:cs="Times New Roman"/>
          <w:sz w:val="20"/>
          <w:szCs w:val="20"/>
        </w:rPr>
      </w:pPr>
      <w:r>
        <w:rPr>
          <w:rFonts w:asciiTheme="majorHAnsi" w:eastAsia="Times New Roman" w:hAnsiTheme="majorHAnsi" w:cs="Arial"/>
          <w:sz w:val="20"/>
          <w:szCs w:val="20"/>
        </w:rPr>
        <w:t>For the above reasons, these civil appeals filed by the Department are dismissed with no order as to costs.</w:t>
      </w:r>
    </w:p>
    <w:p w:rsidR="00776950" w:rsidRDefault="00776950"/>
    <w:sectPr w:rsidR="0077695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601BC"/>
    <w:rsid w:val="004601BC"/>
    <w:rsid w:val="007769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01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2421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1296</Words>
  <Characters>7391</Characters>
  <Application>Microsoft Office Word</Application>
  <DocSecurity>0</DocSecurity>
  <Lines>61</Lines>
  <Paragraphs>17</Paragraphs>
  <ScaleCrop>false</ScaleCrop>
  <Company/>
  <LinksUpToDate>false</LinksUpToDate>
  <CharactersWithSpaces>8670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2013-06-20T10:52:00Z</dcterms:created>
  <dcterms:modified xsi:type="dcterms:W3CDTF">2013-06-20T10:53:00Z</dcterms:modified>
</cp:coreProperties>
</file>